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54F" w:rsidRDefault="00D951B4">
      <w:pPr>
        <w:rPr>
          <w:sz w:val="36"/>
          <w:szCs w:val="36"/>
        </w:rPr>
      </w:pPr>
      <w:proofErr w:type="gramStart"/>
      <w:r w:rsidRPr="00D951B4">
        <w:rPr>
          <w:sz w:val="36"/>
          <w:szCs w:val="36"/>
        </w:rPr>
        <w:t>Question 1</w:t>
      </w:r>
      <w:r>
        <w:rPr>
          <w:sz w:val="36"/>
          <w:szCs w:val="36"/>
        </w:rPr>
        <w:t>.</w:t>
      </w:r>
      <w:proofErr w:type="gramEnd"/>
      <w:r w:rsidRPr="00D951B4">
        <w:rPr>
          <w:sz w:val="36"/>
          <w:szCs w:val="36"/>
        </w:rPr>
        <w:t xml:space="preserve"> </w:t>
      </w:r>
      <w:proofErr w:type="gramStart"/>
      <w:r>
        <w:rPr>
          <w:sz w:val="36"/>
          <w:szCs w:val="36"/>
        </w:rPr>
        <w:t>a</w:t>
      </w:r>
      <w:proofErr w:type="gramEnd"/>
      <w:r w:rsidRPr="00D951B4">
        <w:rPr>
          <w:sz w:val="36"/>
          <w:szCs w:val="36"/>
        </w:rPr>
        <w:t xml:space="preserve">: </w:t>
      </w:r>
      <w:r w:rsidRPr="00D951B4">
        <w:rPr>
          <w:b/>
          <w:bCs/>
          <w:sz w:val="36"/>
          <w:szCs w:val="36"/>
        </w:rPr>
        <w:t>Identify </w:t>
      </w:r>
      <w:r w:rsidRPr="00D951B4">
        <w:rPr>
          <w:sz w:val="36"/>
          <w:szCs w:val="36"/>
        </w:rPr>
        <w:t>the research method used and outline two characteristics of the method. (3)</w:t>
      </w:r>
    </w:p>
    <w:p w:rsidR="00295AE7" w:rsidRPr="00A2463E" w:rsidRDefault="00295AE7">
      <w:pPr>
        <w:rPr>
          <w:sz w:val="20"/>
          <w:szCs w:val="20"/>
        </w:rPr>
      </w:pPr>
      <w:r w:rsidRPr="00A2463E">
        <w:rPr>
          <w:sz w:val="20"/>
          <w:szCs w:val="20"/>
        </w:rPr>
        <w:t xml:space="preserve">This table contains examples of characteristics that could be used for each method; there are of course </w:t>
      </w:r>
      <w:r w:rsidR="00DB0DD5" w:rsidRPr="00A2463E">
        <w:rPr>
          <w:sz w:val="20"/>
          <w:szCs w:val="20"/>
        </w:rPr>
        <w:t xml:space="preserve">many </w:t>
      </w:r>
      <w:r w:rsidRPr="00A2463E">
        <w:rPr>
          <w:sz w:val="20"/>
          <w:szCs w:val="20"/>
        </w:rPr>
        <w:t xml:space="preserve">other characteristics which could be creditworthy. These have been written, however, </w:t>
      </w:r>
      <w:r w:rsidR="00DB0DD5" w:rsidRPr="00A2463E">
        <w:rPr>
          <w:sz w:val="20"/>
          <w:szCs w:val="20"/>
        </w:rPr>
        <w:t xml:space="preserve">to </w:t>
      </w:r>
      <w:r w:rsidRPr="00A2463E">
        <w:rPr>
          <w:sz w:val="20"/>
          <w:szCs w:val="20"/>
        </w:rPr>
        <w:t xml:space="preserve">demonstrate the level of depth </w:t>
      </w:r>
      <w:r w:rsidR="00DB0DD5" w:rsidRPr="00A2463E">
        <w:rPr>
          <w:sz w:val="20"/>
          <w:szCs w:val="20"/>
        </w:rPr>
        <w:t>required for a mark, working on the basis of approximately 50 words per characteristic.</w:t>
      </w:r>
    </w:p>
    <w:tbl>
      <w:tblPr>
        <w:tblStyle w:val="TableGrid"/>
        <w:tblW w:w="0" w:type="auto"/>
        <w:tblLook w:val="04A0" w:firstRow="1" w:lastRow="0" w:firstColumn="1" w:lastColumn="0" w:noHBand="0" w:noVBand="1"/>
      </w:tblPr>
      <w:tblGrid>
        <w:gridCol w:w="1809"/>
        <w:gridCol w:w="1701"/>
        <w:gridCol w:w="5245"/>
        <w:gridCol w:w="5419"/>
      </w:tblGrid>
      <w:tr w:rsidR="00A2463E" w:rsidTr="00A2463E">
        <w:tc>
          <w:tcPr>
            <w:tcW w:w="1809" w:type="dxa"/>
          </w:tcPr>
          <w:p w:rsidR="00A2463E" w:rsidRPr="00295AE7" w:rsidRDefault="00A2463E">
            <w:pPr>
              <w:rPr>
                <w:b/>
                <w:sz w:val="24"/>
                <w:szCs w:val="24"/>
              </w:rPr>
            </w:pPr>
            <w:r w:rsidRPr="00295AE7">
              <w:rPr>
                <w:b/>
                <w:sz w:val="24"/>
                <w:szCs w:val="24"/>
              </w:rPr>
              <w:t>Method</w:t>
            </w:r>
          </w:p>
        </w:tc>
        <w:tc>
          <w:tcPr>
            <w:tcW w:w="1701" w:type="dxa"/>
          </w:tcPr>
          <w:p w:rsidR="00A2463E" w:rsidRPr="00295AE7" w:rsidRDefault="00A2463E">
            <w:pPr>
              <w:rPr>
                <w:b/>
                <w:sz w:val="24"/>
                <w:szCs w:val="24"/>
              </w:rPr>
            </w:pPr>
            <w:proofErr w:type="spellStart"/>
            <w:r>
              <w:rPr>
                <w:b/>
                <w:sz w:val="24"/>
                <w:szCs w:val="24"/>
              </w:rPr>
              <w:t>QuaN</w:t>
            </w:r>
            <w:proofErr w:type="spellEnd"/>
            <w:r>
              <w:rPr>
                <w:b/>
                <w:sz w:val="24"/>
                <w:szCs w:val="24"/>
              </w:rPr>
              <w:t>/</w:t>
            </w:r>
            <w:proofErr w:type="spellStart"/>
            <w:r>
              <w:rPr>
                <w:b/>
                <w:sz w:val="24"/>
                <w:szCs w:val="24"/>
              </w:rPr>
              <w:t>QuaL</w:t>
            </w:r>
            <w:proofErr w:type="spellEnd"/>
          </w:p>
        </w:tc>
        <w:tc>
          <w:tcPr>
            <w:tcW w:w="5245" w:type="dxa"/>
          </w:tcPr>
          <w:p w:rsidR="00A2463E" w:rsidRPr="00295AE7" w:rsidRDefault="00A2463E">
            <w:pPr>
              <w:rPr>
                <w:b/>
                <w:sz w:val="24"/>
                <w:szCs w:val="24"/>
              </w:rPr>
            </w:pPr>
            <w:r w:rsidRPr="00295AE7">
              <w:rPr>
                <w:b/>
                <w:sz w:val="24"/>
                <w:szCs w:val="24"/>
              </w:rPr>
              <w:t>Characteristic 1</w:t>
            </w:r>
          </w:p>
        </w:tc>
        <w:tc>
          <w:tcPr>
            <w:tcW w:w="5419" w:type="dxa"/>
          </w:tcPr>
          <w:p w:rsidR="00A2463E" w:rsidRPr="00295AE7" w:rsidRDefault="00A2463E">
            <w:pPr>
              <w:rPr>
                <w:b/>
                <w:sz w:val="24"/>
                <w:szCs w:val="24"/>
              </w:rPr>
            </w:pPr>
            <w:r w:rsidRPr="00295AE7">
              <w:rPr>
                <w:b/>
                <w:sz w:val="24"/>
                <w:szCs w:val="24"/>
              </w:rPr>
              <w:t>Characteristic 2</w:t>
            </w:r>
          </w:p>
        </w:tc>
      </w:tr>
      <w:tr w:rsidR="00A2463E" w:rsidTr="00A2463E">
        <w:tc>
          <w:tcPr>
            <w:tcW w:w="1809" w:type="dxa"/>
          </w:tcPr>
          <w:p w:rsidR="00A2463E" w:rsidRPr="00D951B4" w:rsidRDefault="00A2463E" w:rsidP="00D951B4">
            <w:pPr>
              <w:rPr>
                <w:sz w:val="28"/>
                <w:szCs w:val="36"/>
              </w:rPr>
            </w:pPr>
            <w:r w:rsidRPr="00D951B4">
              <w:rPr>
                <w:sz w:val="28"/>
                <w:szCs w:val="36"/>
              </w:rPr>
              <w:t xml:space="preserve">Experiment </w:t>
            </w:r>
          </w:p>
        </w:tc>
        <w:tc>
          <w:tcPr>
            <w:tcW w:w="1701" w:type="dxa"/>
          </w:tcPr>
          <w:p w:rsidR="00A2463E" w:rsidRPr="00B80984" w:rsidRDefault="00A2463E" w:rsidP="00295AE7">
            <w:proofErr w:type="spellStart"/>
            <w:r>
              <w:t>QuaN</w:t>
            </w:r>
            <w:proofErr w:type="spellEnd"/>
          </w:p>
        </w:tc>
        <w:tc>
          <w:tcPr>
            <w:tcW w:w="5245" w:type="dxa"/>
          </w:tcPr>
          <w:p w:rsidR="00A2463E" w:rsidRPr="00B80984" w:rsidRDefault="00A2463E" w:rsidP="00295AE7">
            <w:r w:rsidRPr="00B80984">
              <w:t xml:space="preserve">Experimenters decide on a single variable, the independent variable (IV) which they manipulate (or deliberately alter) in order to see whether this brings about a change in a second variable, known as the dependent variable (DV) which is measured in some quantitative way.  </w:t>
            </w:r>
          </w:p>
        </w:tc>
        <w:tc>
          <w:tcPr>
            <w:tcW w:w="5419" w:type="dxa"/>
          </w:tcPr>
          <w:p w:rsidR="00A2463E" w:rsidRPr="00B80984" w:rsidRDefault="00A2463E" w:rsidP="00295AE7">
            <w:r w:rsidRPr="00B80984">
              <w:t xml:space="preserve">All other variables which might affect the dependent variable are held constant (controlled) meaning any change in the DV can be said to have been caused by the IV and this means that the findings of experimental studies can be said to have strong internal validity. </w:t>
            </w:r>
          </w:p>
        </w:tc>
      </w:tr>
      <w:tr w:rsidR="00A2463E" w:rsidTr="00A2463E">
        <w:tc>
          <w:tcPr>
            <w:tcW w:w="1809" w:type="dxa"/>
          </w:tcPr>
          <w:p w:rsidR="00A2463E" w:rsidRPr="00D951B4" w:rsidRDefault="00A2463E" w:rsidP="00D951B4">
            <w:pPr>
              <w:rPr>
                <w:sz w:val="28"/>
              </w:rPr>
            </w:pPr>
            <w:r w:rsidRPr="00D951B4">
              <w:rPr>
                <w:sz w:val="28"/>
                <w:szCs w:val="36"/>
              </w:rPr>
              <w:t>Field experiment</w:t>
            </w:r>
          </w:p>
        </w:tc>
        <w:tc>
          <w:tcPr>
            <w:tcW w:w="1701" w:type="dxa"/>
          </w:tcPr>
          <w:p w:rsidR="00A2463E" w:rsidRPr="00B80984" w:rsidRDefault="00A2463E" w:rsidP="006802B0">
            <w:proofErr w:type="spellStart"/>
            <w:r>
              <w:t>QuaN</w:t>
            </w:r>
            <w:proofErr w:type="spellEnd"/>
          </w:p>
        </w:tc>
        <w:tc>
          <w:tcPr>
            <w:tcW w:w="5245" w:type="dxa"/>
          </w:tcPr>
          <w:p w:rsidR="00A2463E" w:rsidRPr="00B80984" w:rsidRDefault="00A2463E" w:rsidP="006802B0">
            <w:r w:rsidRPr="00B80984">
              <w:t xml:space="preserve">Field experiments also seek causal relationships between a deliberately manipulated independent variable and a measured or dependent variable yet they do not take place under controlled conditions, instead they are conducted in real-world environments where participants can be found going about their daily business, e.g. at a cinema or shopping centre.  </w:t>
            </w:r>
          </w:p>
        </w:tc>
        <w:tc>
          <w:tcPr>
            <w:tcW w:w="5419" w:type="dxa"/>
          </w:tcPr>
          <w:p w:rsidR="00A2463E" w:rsidRPr="00B80984" w:rsidRDefault="00A2463E" w:rsidP="00B80984">
            <w:r w:rsidRPr="00B80984">
              <w:t>Participants in field experiments are often unaware that they are being observed as part of an experiment, meaning that their behaviour is more natural, while this increases the ecological validity of the findings, the inability to control extraneous variables due to the natural setting decreases internal validity.</w:t>
            </w:r>
          </w:p>
        </w:tc>
      </w:tr>
      <w:tr w:rsidR="00A2463E" w:rsidTr="00A2463E">
        <w:tc>
          <w:tcPr>
            <w:tcW w:w="1809" w:type="dxa"/>
          </w:tcPr>
          <w:p w:rsidR="00A2463E" w:rsidRPr="00D951B4" w:rsidRDefault="00A2463E" w:rsidP="00D951B4">
            <w:pPr>
              <w:rPr>
                <w:sz w:val="28"/>
              </w:rPr>
            </w:pPr>
            <w:r w:rsidRPr="00D951B4">
              <w:rPr>
                <w:sz w:val="28"/>
                <w:szCs w:val="36"/>
              </w:rPr>
              <w:t>Quasi experiment</w:t>
            </w:r>
          </w:p>
        </w:tc>
        <w:tc>
          <w:tcPr>
            <w:tcW w:w="1701" w:type="dxa"/>
          </w:tcPr>
          <w:p w:rsidR="00A2463E" w:rsidRPr="00B80984" w:rsidRDefault="00A2463E" w:rsidP="00B80984">
            <w:proofErr w:type="spellStart"/>
            <w:r>
              <w:t>QuaN</w:t>
            </w:r>
            <w:proofErr w:type="spellEnd"/>
          </w:p>
        </w:tc>
        <w:tc>
          <w:tcPr>
            <w:tcW w:w="5245" w:type="dxa"/>
          </w:tcPr>
          <w:p w:rsidR="00A2463E" w:rsidRPr="00B80984" w:rsidRDefault="00A2463E" w:rsidP="00B80984">
            <w:r w:rsidRPr="00B80984">
              <w:t>Quasi means ‘seemingly’ or ‘apparently’ and quasi experiments therefore share some but not all of the characteristics of a laboratory experiment; the defining feature is that it is not possibly to randomly allocate participants to the experimental (treatment) and/or control groups, as these groupings are outside of the control of the experimenter.</w:t>
            </w:r>
          </w:p>
        </w:tc>
        <w:tc>
          <w:tcPr>
            <w:tcW w:w="5419" w:type="dxa"/>
          </w:tcPr>
          <w:p w:rsidR="00A2463E" w:rsidRPr="00962199" w:rsidRDefault="00A2463E">
            <w:r w:rsidRPr="00962199">
              <w:t>The fact that participants cannot be randomly allocated in a quasi-experiment means that the findings can be said to lack internal validity as there may be uncontrolled variables that led participants to be in one group and not the other, which are responsible for any changes in the DV.</w:t>
            </w:r>
          </w:p>
        </w:tc>
      </w:tr>
      <w:tr w:rsidR="00A2463E" w:rsidTr="00A2463E">
        <w:tc>
          <w:tcPr>
            <w:tcW w:w="1809" w:type="dxa"/>
          </w:tcPr>
          <w:p w:rsidR="00A2463E" w:rsidRPr="00D951B4" w:rsidRDefault="00A2463E" w:rsidP="00D951B4">
            <w:pPr>
              <w:rPr>
                <w:sz w:val="28"/>
              </w:rPr>
            </w:pPr>
            <w:r w:rsidRPr="00D951B4">
              <w:rPr>
                <w:sz w:val="28"/>
                <w:szCs w:val="36"/>
              </w:rPr>
              <w:t>Natural experiment</w:t>
            </w:r>
          </w:p>
        </w:tc>
        <w:tc>
          <w:tcPr>
            <w:tcW w:w="1701" w:type="dxa"/>
          </w:tcPr>
          <w:p w:rsidR="00A2463E" w:rsidRPr="00B80984" w:rsidRDefault="00A2463E" w:rsidP="00962199">
            <w:proofErr w:type="spellStart"/>
            <w:r>
              <w:t>QuaN</w:t>
            </w:r>
            <w:proofErr w:type="spellEnd"/>
          </w:p>
        </w:tc>
        <w:tc>
          <w:tcPr>
            <w:tcW w:w="5245" w:type="dxa"/>
          </w:tcPr>
          <w:p w:rsidR="00A2463E" w:rsidRPr="00B80984" w:rsidRDefault="00A2463E" w:rsidP="00962199">
            <w:r w:rsidRPr="00B80984">
              <w:t>Natural experiments</w:t>
            </w:r>
            <w:r>
              <w:t xml:space="preserve"> are characterised by the fact that the independent variable is naturally occurring, i.e. the change between the experimental and control conditions is brought about as a consequence of factors </w:t>
            </w:r>
            <w:r>
              <w:lastRenderedPageBreak/>
              <w:t>which are outside of the experimenters control, e.g. before and after the introduction of western TV channels on a remote island.</w:t>
            </w:r>
          </w:p>
        </w:tc>
        <w:tc>
          <w:tcPr>
            <w:tcW w:w="5419" w:type="dxa"/>
          </w:tcPr>
          <w:p w:rsidR="00A2463E" w:rsidRPr="00962199" w:rsidRDefault="00A2463E" w:rsidP="00962199">
            <w:r>
              <w:lastRenderedPageBreak/>
              <w:t>As</w:t>
            </w:r>
            <w:r w:rsidRPr="00962199">
              <w:t xml:space="preserve"> changes </w:t>
            </w:r>
            <w:r>
              <w:t>in the independent</w:t>
            </w:r>
            <w:r w:rsidRPr="00962199">
              <w:t xml:space="preserve"> var</w:t>
            </w:r>
            <w:r>
              <w:t>iab</w:t>
            </w:r>
            <w:r w:rsidRPr="00962199">
              <w:t>le are naturally occurring</w:t>
            </w:r>
            <w:r>
              <w:t xml:space="preserve">, </w:t>
            </w:r>
            <w:r w:rsidRPr="00962199">
              <w:t>the findings of natural experiments may lack internal validity</w:t>
            </w:r>
            <w:r>
              <w:t xml:space="preserve">, </w:t>
            </w:r>
            <w:r w:rsidRPr="00962199">
              <w:t xml:space="preserve">as </w:t>
            </w:r>
            <w:r>
              <w:t xml:space="preserve">changes in the DV </w:t>
            </w:r>
            <w:r w:rsidRPr="00962199">
              <w:t xml:space="preserve">may have </w:t>
            </w:r>
            <w:r>
              <w:t xml:space="preserve">arisen due to </w:t>
            </w:r>
            <w:r w:rsidRPr="00962199">
              <w:t>extraneous</w:t>
            </w:r>
            <w:r>
              <w:t xml:space="preserve"> factors, </w:t>
            </w:r>
            <w:r w:rsidRPr="00962199">
              <w:t xml:space="preserve">i.e. </w:t>
            </w:r>
            <w:r>
              <w:t xml:space="preserve">other societal changes </w:t>
            </w:r>
            <w:r>
              <w:lastRenderedPageBreak/>
              <w:t xml:space="preserve">which accompanied the introduction of Western TV were actually responsible for changes in the DV. </w:t>
            </w:r>
          </w:p>
        </w:tc>
      </w:tr>
      <w:tr w:rsidR="00A2463E" w:rsidTr="00A2463E">
        <w:tc>
          <w:tcPr>
            <w:tcW w:w="1809" w:type="dxa"/>
          </w:tcPr>
          <w:p w:rsidR="00A2463E" w:rsidRPr="00D951B4" w:rsidRDefault="00A2463E">
            <w:pPr>
              <w:rPr>
                <w:sz w:val="28"/>
                <w:szCs w:val="36"/>
              </w:rPr>
            </w:pPr>
            <w:r w:rsidRPr="00D951B4">
              <w:rPr>
                <w:sz w:val="28"/>
                <w:szCs w:val="36"/>
              </w:rPr>
              <w:lastRenderedPageBreak/>
              <w:t>Correlation</w:t>
            </w:r>
          </w:p>
        </w:tc>
        <w:tc>
          <w:tcPr>
            <w:tcW w:w="1701" w:type="dxa"/>
          </w:tcPr>
          <w:p w:rsidR="00A2463E" w:rsidRPr="00962199" w:rsidRDefault="00A2463E" w:rsidP="00962199">
            <w:proofErr w:type="spellStart"/>
            <w:r>
              <w:t>QuaN</w:t>
            </w:r>
            <w:proofErr w:type="spellEnd"/>
          </w:p>
        </w:tc>
        <w:tc>
          <w:tcPr>
            <w:tcW w:w="5245" w:type="dxa"/>
          </w:tcPr>
          <w:p w:rsidR="00A2463E" w:rsidRPr="00962199" w:rsidRDefault="00A2463E" w:rsidP="00962199">
            <w:r w:rsidRPr="00962199">
              <w:t xml:space="preserve">Correlational studies have no manipulated </w:t>
            </w:r>
            <w:r>
              <w:t>variable</w:t>
            </w:r>
            <w:r w:rsidRPr="00962199">
              <w:t xml:space="preserve"> and therefore do not seek to establish causal relationships</w:t>
            </w:r>
            <w:r>
              <w:t xml:space="preserve"> as is the case with experimental studies</w:t>
            </w:r>
            <w:r w:rsidRPr="00962199">
              <w:t>; they have two or more measured variables known as co-variables</w:t>
            </w:r>
            <w:r>
              <w:t xml:space="preserve"> which are measured using quantitative data, e.g. through some sort of rating scale.</w:t>
            </w:r>
          </w:p>
        </w:tc>
        <w:tc>
          <w:tcPr>
            <w:tcW w:w="5419" w:type="dxa"/>
          </w:tcPr>
          <w:p w:rsidR="00A2463E" w:rsidRPr="00962199" w:rsidRDefault="00A2463E" w:rsidP="00DB0DD5">
            <w:r>
              <w:t>Correlational studies are common in areas of psychology where it may not be possible to ethically or practically manipulate variables as part of an experiment; as there is no attempt to establish causality, internal validity relates solely to the extent to which the instruments used to measure the co-variables provide accurate and meaningful data.</w:t>
            </w:r>
          </w:p>
        </w:tc>
      </w:tr>
      <w:tr w:rsidR="00A2463E" w:rsidTr="00A2463E">
        <w:tc>
          <w:tcPr>
            <w:tcW w:w="1809" w:type="dxa"/>
          </w:tcPr>
          <w:p w:rsidR="00A2463E" w:rsidRPr="00D951B4" w:rsidRDefault="00A2463E">
            <w:pPr>
              <w:rPr>
                <w:sz w:val="28"/>
                <w:szCs w:val="36"/>
              </w:rPr>
            </w:pPr>
            <w:r w:rsidRPr="00D951B4">
              <w:rPr>
                <w:sz w:val="28"/>
                <w:szCs w:val="36"/>
              </w:rPr>
              <w:t>Naturalistic Observation</w:t>
            </w:r>
            <w:r>
              <w:rPr>
                <w:sz w:val="28"/>
                <w:szCs w:val="36"/>
              </w:rPr>
              <w:t>: Participant</w:t>
            </w:r>
          </w:p>
        </w:tc>
        <w:tc>
          <w:tcPr>
            <w:tcW w:w="1701" w:type="dxa"/>
          </w:tcPr>
          <w:p w:rsidR="00A2463E" w:rsidRPr="00B56BA3" w:rsidRDefault="00A2463E" w:rsidP="00A2463E">
            <w:proofErr w:type="spellStart"/>
            <w:r>
              <w:t>QuaL</w:t>
            </w:r>
            <w:proofErr w:type="spellEnd"/>
          </w:p>
        </w:tc>
        <w:tc>
          <w:tcPr>
            <w:tcW w:w="5245" w:type="dxa"/>
          </w:tcPr>
          <w:p w:rsidR="00A2463E" w:rsidRPr="0081581A" w:rsidRDefault="00A2463E" w:rsidP="00B56BA3">
            <w:r w:rsidRPr="00B56BA3">
              <w:t>The observer collect</w:t>
            </w:r>
            <w:r>
              <w:t>s</w:t>
            </w:r>
            <w:r w:rsidRPr="00B56BA3">
              <w:t xml:space="preserve"> data</w:t>
            </w:r>
            <w:r w:rsidRPr="00B56BA3">
              <w:rPr>
                <w:rFonts w:eastAsia="Meiryo" w:cs="Meiryo"/>
                <w:shd w:val="clear" w:color="auto" w:fill="FAF9F7"/>
              </w:rPr>
              <w:t xml:space="preserve"> </w:t>
            </w:r>
            <w:r>
              <w:rPr>
                <w:rFonts w:eastAsia="Meiryo" w:cs="Meiryo"/>
                <w:shd w:val="clear" w:color="auto" w:fill="FAF9F7"/>
              </w:rPr>
              <w:t>from</w:t>
            </w:r>
            <w:r w:rsidRPr="00B56BA3">
              <w:rPr>
                <w:rFonts w:eastAsia="Meiryo" w:cs="Meiryo"/>
                <w:shd w:val="clear" w:color="auto" w:fill="FAF9F7"/>
              </w:rPr>
              <w:t xml:space="preserve"> participants’ </w:t>
            </w:r>
            <w:r>
              <w:rPr>
                <w:rFonts w:eastAsia="Meiryo" w:cs="Meiryo"/>
                <w:shd w:val="clear" w:color="auto" w:fill="FAF9F7"/>
              </w:rPr>
              <w:t xml:space="preserve">in their </w:t>
            </w:r>
            <w:r w:rsidRPr="00B56BA3">
              <w:rPr>
                <w:rFonts w:eastAsia="Meiryo" w:cs="Meiryo"/>
                <w:shd w:val="clear" w:color="auto" w:fill="FAF9F7"/>
              </w:rPr>
              <w:t>natural environment</w:t>
            </w:r>
            <w:r>
              <w:rPr>
                <w:rFonts w:eastAsia="Meiryo" w:cs="Meiryo"/>
                <w:shd w:val="clear" w:color="auto" w:fill="FAF9F7"/>
              </w:rPr>
              <w:t>s</w:t>
            </w:r>
            <w:r w:rsidRPr="00B56BA3">
              <w:rPr>
                <w:rFonts w:eastAsia="Meiryo" w:cs="Meiryo"/>
                <w:shd w:val="clear" w:color="auto" w:fill="FAF9F7"/>
              </w:rPr>
              <w:t xml:space="preserve"> without any </w:t>
            </w:r>
            <w:r>
              <w:rPr>
                <w:rFonts w:eastAsia="Meiryo" w:cs="Meiryo"/>
                <w:shd w:val="clear" w:color="auto" w:fill="FAF9F7"/>
              </w:rPr>
              <w:t xml:space="preserve">deliberate </w:t>
            </w:r>
            <w:r w:rsidRPr="00B56BA3">
              <w:rPr>
                <w:rFonts w:eastAsia="Meiryo" w:cs="Meiryo"/>
                <w:shd w:val="clear" w:color="auto" w:fill="FAF9F7"/>
              </w:rPr>
              <w:t xml:space="preserve">manipulation of the setting; while tallying can be used to collect quantitative data, </w:t>
            </w:r>
            <w:r>
              <w:rPr>
                <w:rFonts w:eastAsia="Meiryo" w:cs="Meiryo"/>
                <w:shd w:val="clear" w:color="auto" w:fill="FAF9F7"/>
              </w:rPr>
              <w:t xml:space="preserve">the researcher may record qualitative </w:t>
            </w:r>
            <w:r w:rsidRPr="00B56BA3">
              <w:rPr>
                <w:rFonts w:eastAsia="Meiryo" w:cs="Meiryo"/>
                <w:shd w:val="clear" w:color="auto" w:fill="FAF9F7"/>
              </w:rPr>
              <w:t>‘field notes’</w:t>
            </w:r>
            <w:r>
              <w:rPr>
                <w:rFonts w:cs="Arial"/>
                <w:bCs/>
                <w:shd w:val="clear" w:color="auto" w:fill="FFFFFF"/>
              </w:rPr>
              <w:t xml:space="preserve">, describing behaviours of interest while </w:t>
            </w:r>
            <w:r w:rsidRPr="00B56BA3">
              <w:rPr>
                <w:rFonts w:cs="Arial"/>
                <w:bCs/>
                <w:shd w:val="clear" w:color="auto" w:fill="FFFFFF"/>
              </w:rPr>
              <w:t xml:space="preserve">diagrams and sketches </w:t>
            </w:r>
            <w:r>
              <w:rPr>
                <w:rFonts w:cs="Arial"/>
                <w:bCs/>
                <w:shd w:val="clear" w:color="auto" w:fill="FFFFFF"/>
              </w:rPr>
              <w:t>may also be used.</w:t>
            </w:r>
          </w:p>
        </w:tc>
        <w:tc>
          <w:tcPr>
            <w:tcW w:w="5419" w:type="dxa"/>
          </w:tcPr>
          <w:p w:rsidR="00A2463E" w:rsidRPr="00EC7BBE" w:rsidRDefault="00A2463E" w:rsidP="00EC7BBE">
            <w:r>
              <w:t>In</w:t>
            </w:r>
            <w:r w:rsidRPr="00EC7BBE">
              <w:t xml:space="preserve"> a participant </w:t>
            </w:r>
            <w:r>
              <w:t xml:space="preserve">observation </w:t>
            </w:r>
            <w:r w:rsidRPr="00EC7BBE">
              <w:t xml:space="preserve">the researcher becomes </w:t>
            </w:r>
            <w:r>
              <w:t xml:space="preserve">actively involved within the </w:t>
            </w:r>
            <w:r w:rsidRPr="00EC7BBE">
              <w:t xml:space="preserve">community or group </w:t>
            </w:r>
            <w:r>
              <w:t xml:space="preserve">that </w:t>
            </w:r>
            <w:r w:rsidRPr="00EC7BBE">
              <w:t>he</w:t>
            </w:r>
            <w:r>
              <w:t xml:space="preserve"> or she</w:t>
            </w:r>
            <w:r w:rsidRPr="00EC7BBE">
              <w:t xml:space="preserve"> is studying</w:t>
            </w:r>
            <w:r>
              <w:t>; this facilitates a unique perspective that would not have been otherwise possible and though this can lead to subjectivity, the credibility of the data may also be enhanced.</w:t>
            </w:r>
          </w:p>
        </w:tc>
      </w:tr>
      <w:tr w:rsidR="00A2463E" w:rsidTr="00A2463E">
        <w:tc>
          <w:tcPr>
            <w:tcW w:w="1809" w:type="dxa"/>
          </w:tcPr>
          <w:p w:rsidR="00A2463E" w:rsidRDefault="00A2463E">
            <w:pPr>
              <w:rPr>
                <w:sz w:val="28"/>
                <w:szCs w:val="36"/>
              </w:rPr>
            </w:pPr>
            <w:r w:rsidRPr="00D951B4">
              <w:rPr>
                <w:sz w:val="28"/>
                <w:szCs w:val="36"/>
              </w:rPr>
              <w:t>Naturalistic Observation</w:t>
            </w:r>
            <w:r>
              <w:rPr>
                <w:sz w:val="28"/>
                <w:szCs w:val="36"/>
              </w:rPr>
              <w:t>: Non-Participant</w:t>
            </w:r>
          </w:p>
          <w:p w:rsidR="00A2463E" w:rsidRPr="00D951B4" w:rsidRDefault="00A2463E">
            <w:pPr>
              <w:rPr>
                <w:sz w:val="28"/>
                <w:szCs w:val="36"/>
              </w:rPr>
            </w:pPr>
          </w:p>
        </w:tc>
        <w:tc>
          <w:tcPr>
            <w:tcW w:w="1701" w:type="dxa"/>
          </w:tcPr>
          <w:p w:rsidR="00A2463E" w:rsidRPr="00B56BA3" w:rsidRDefault="00A2463E">
            <w:proofErr w:type="spellStart"/>
            <w:r>
              <w:t>QuaL</w:t>
            </w:r>
            <w:proofErr w:type="spellEnd"/>
          </w:p>
        </w:tc>
        <w:tc>
          <w:tcPr>
            <w:tcW w:w="5245" w:type="dxa"/>
          </w:tcPr>
          <w:p w:rsidR="00A2463E" w:rsidRPr="0081581A" w:rsidRDefault="00A2463E">
            <w:pPr>
              <w:rPr>
                <w:rFonts w:eastAsia="Meiryo" w:cs="Meiryo"/>
                <w:color w:val="292929"/>
                <w:shd w:val="clear" w:color="auto" w:fill="FAF9F7"/>
              </w:rPr>
            </w:pPr>
            <w:r w:rsidRPr="00B56BA3">
              <w:t>The observer collect</w:t>
            </w:r>
            <w:r>
              <w:t>s</w:t>
            </w:r>
            <w:r w:rsidRPr="00B56BA3">
              <w:t xml:space="preserve"> data</w:t>
            </w:r>
            <w:r w:rsidRPr="00B56BA3">
              <w:rPr>
                <w:rFonts w:eastAsia="Meiryo" w:cs="Meiryo"/>
                <w:shd w:val="clear" w:color="auto" w:fill="FAF9F7"/>
              </w:rPr>
              <w:t xml:space="preserve"> </w:t>
            </w:r>
            <w:r>
              <w:rPr>
                <w:rFonts w:eastAsia="Meiryo" w:cs="Meiryo"/>
                <w:shd w:val="clear" w:color="auto" w:fill="FAF9F7"/>
              </w:rPr>
              <w:t>from</w:t>
            </w:r>
            <w:r w:rsidRPr="00B56BA3">
              <w:rPr>
                <w:rFonts w:eastAsia="Meiryo" w:cs="Meiryo"/>
                <w:shd w:val="clear" w:color="auto" w:fill="FAF9F7"/>
              </w:rPr>
              <w:t xml:space="preserve"> participants’ </w:t>
            </w:r>
            <w:r>
              <w:rPr>
                <w:rFonts w:eastAsia="Meiryo" w:cs="Meiryo"/>
                <w:shd w:val="clear" w:color="auto" w:fill="FAF9F7"/>
              </w:rPr>
              <w:t xml:space="preserve">in their </w:t>
            </w:r>
            <w:r w:rsidRPr="00B56BA3">
              <w:rPr>
                <w:rFonts w:eastAsia="Meiryo" w:cs="Meiryo"/>
                <w:shd w:val="clear" w:color="auto" w:fill="FAF9F7"/>
              </w:rPr>
              <w:t>natural environment</w:t>
            </w:r>
            <w:r>
              <w:rPr>
                <w:rFonts w:eastAsia="Meiryo" w:cs="Meiryo"/>
                <w:shd w:val="clear" w:color="auto" w:fill="FAF9F7"/>
              </w:rPr>
              <w:t>s</w:t>
            </w:r>
            <w:r w:rsidRPr="00B56BA3">
              <w:rPr>
                <w:rFonts w:eastAsia="Meiryo" w:cs="Meiryo"/>
                <w:shd w:val="clear" w:color="auto" w:fill="FAF9F7"/>
              </w:rPr>
              <w:t xml:space="preserve"> without any </w:t>
            </w:r>
            <w:r>
              <w:rPr>
                <w:rFonts w:eastAsia="Meiryo" w:cs="Meiryo"/>
                <w:shd w:val="clear" w:color="auto" w:fill="FAF9F7"/>
              </w:rPr>
              <w:t xml:space="preserve">deliberate </w:t>
            </w:r>
            <w:r w:rsidRPr="00B56BA3">
              <w:rPr>
                <w:rFonts w:eastAsia="Meiryo" w:cs="Meiryo"/>
                <w:shd w:val="clear" w:color="auto" w:fill="FAF9F7"/>
              </w:rPr>
              <w:t xml:space="preserve">manipulation of the setting; while tallying can be used to collect quantitative data, </w:t>
            </w:r>
            <w:r>
              <w:rPr>
                <w:rFonts w:eastAsia="Meiryo" w:cs="Meiryo"/>
                <w:shd w:val="clear" w:color="auto" w:fill="FAF9F7"/>
              </w:rPr>
              <w:t xml:space="preserve">the researcher may record qualitative </w:t>
            </w:r>
            <w:r w:rsidRPr="00B56BA3">
              <w:rPr>
                <w:rFonts w:eastAsia="Meiryo" w:cs="Meiryo"/>
                <w:shd w:val="clear" w:color="auto" w:fill="FAF9F7"/>
              </w:rPr>
              <w:t>‘field notes’</w:t>
            </w:r>
            <w:r>
              <w:rPr>
                <w:rFonts w:cs="Arial"/>
                <w:bCs/>
                <w:shd w:val="clear" w:color="auto" w:fill="FFFFFF"/>
              </w:rPr>
              <w:t xml:space="preserve">, describing behaviours of interest while </w:t>
            </w:r>
            <w:r w:rsidRPr="00B56BA3">
              <w:rPr>
                <w:rFonts w:cs="Arial"/>
                <w:bCs/>
                <w:shd w:val="clear" w:color="auto" w:fill="FFFFFF"/>
              </w:rPr>
              <w:t xml:space="preserve">diagrams and sketches </w:t>
            </w:r>
            <w:r>
              <w:rPr>
                <w:rFonts w:cs="Arial"/>
                <w:bCs/>
                <w:shd w:val="clear" w:color="auto" w:fill="FFFFFF"/>
              </w:rPr>
              <w:t>may also be used.</w:t>
            </w:r>
          </w:p>
        </w:tc>
        <w:tc>
          <w:tcPr>
            <w:tcW w:w="5419" w:type="dxa"/>
          </w:tcPr>
          <w:p w:rsidR="00A2463E" w:rsidRDefault="00A2463E" w:rsidP="00EC7BBE">
            <w:pPr>
              <w:rPr>
                <w:sz w:val="36"/>
                <w:szCs w:val="36"/>
              </w:rPr>
            </w:pPr>
            <w:r>
              <w:t>In</w:t>
            </w:r>
            <w:r w:rsidRPr="00EC7BBE">
              <w:t xml:space="preserve"> a </w:t>
            </w:r>
            <w:r>
              <w:t>non-</w:t>
            </w:r>
            <w:r w:rsidRPr="00EC7BBE">
              <w:t xml:space="preserve">participant </w:t>
            </w:r>
            <w:r>
              <w:t xml:space="preserve">observation </w:t>
            </w:r>
            <w:r w:rsidRPr="00EC7BBE">
              <w:t xml:space="preserve">the </w:t>
            </w:r>
            <w:r>
              <w:t xml:space="preserve">researcher remains separate from the activities of the group and does not interact with participants whilst conducting the observation; this lack of involvement means that the researcher is free to focus entirely on the data collection, arguably leading to a more accurate record of events. </w:t>
            </w:r>
          </w:p>
        </w:tc>
      </w:tr>
      <w:tr w:rsidR="00A2463E" w:rsidTr="00A2463E">
        <w:tc>
          <w:tcPr>
            <w:tcW w:w="1809" w:type="dxa"/>
          </w:tcPr>
          <w:p w:rsidR="00A2463E" w:rsidRDefault="00A2463E">
            <w:pPr>
              <w:rPr>
                <w:sz w:val="28"/>
                <w:szCs w:val="36"/>
              </w:rPr>
            </w:pPr>
            <w:r w:rsidRPr="00D951B4">
              <w:rPr>
                <w:sz w:val="28"/>
                <w:szCs w:val="36"/>
              </w:rPr>
              <w:t>Naturalistic Observation</w:t>
            </w:r>
            <w:r>
              <w:rPr>
                <w:sz w:val="28"/>
                <w:szCs w:val="36"/>
              </w:rPr>
              <w:t>: Covert</w:t>
            </w:r>
          </w:p>
          <w:p w:rsidR="00A2463E" w:rsidRPr="00D951B4" w:rsidRDefault="00A2463E">
            <w:pPr>
              <w:rPr>
                <w:sz w:val="28"/>
                <w:szCs w:val="36"/>
              </w:rPr>
            </w:pPr>
          </w:p>
        </w:tc>
        <w:tc>
          <w:tcPr>
            <w:tcW w:w="1701" w:type="dxa"/>
          </w:tcPr>
          <w:p w:rsidR="00A2463E" w:rsidRPr="00B56BA3" w:rsidRDefault="00A2463E">
            <w:proofErr w:type="spellStart"/>
            <w:r>
              <w:t>QuaL</w:t>
            </w:r>
            <w:proofErr w:type="spellEnd"/>
          </w:p>
        </w:tc>
        <w:tc>
          <w:tcPr>
            <w:tcW w:w="5245" w:type="dxa"/>
          </w:tcPr>
          <w:p w:rsidR="00A2463E" w:rsidRPr="0081581A" w:rsidRDefault="00A2463E">
            <w:pPr>
              <w:rPr>
                <w:rFonts w:eastAsia="Meiryo" w:cs="Meiryo"/>
                <w:color w:val="292929"/>
                <w:shd w:val="clear" w:color="auto" w:fill="FAF9F7"/>
              </w:rPr>
            </w:pPr>
            <w:r w:rsidRPr="00B56BA3">
              <w:t>The observer collect</w:t>
            </w:r>
            <w:r>
              <w:t>s</w:t>
            </w:r>
            <w:r w:rsidRPr="00B56BA3">
              <w:t xml:space="preserve"> data</w:t>
            </w:r>
            <w:r w:rsidRPr="00B56BA3">
              <w:rPr>
                <w:rFonts w:eastAsia="Meiryo" w:cs="Meiryo"/>
                <w:shd w:val="clear" w:color="auto" w:fill="FAF9F7"/>
              </w:rPr>
              <w:t xml:space="preserve"> </w:t>
            </w:r>
            <w:r>
              <w:rPr>
                <w:rFonts w:eastAsia="Meiryo" w:cs="Meiryo"/>
                <w:shd w:val="clear" w:color="auto" w:fill="FAF9F7"/>
              </w:rPr>
              <w:t>from</w:t>
            </w:r>
            <w:r w:rsidRPr="00B56BA3">
              <w:rPr>
                <w:rFonts w:eastAsia="Meiryo" w:cs="Meiryo"/>
                <w:shd w:val="clear" w:color="auto" w:fill="FAF9F7"/>
              </w:rPr>
              <w:t xml:space="preserve"> participants’ </w:t>
            </w:r>
            <w:r>
              <w:rPr>
                <w:rFonts w:eastAsia="Meiryo" w:cs="Meiryo"/>
                <w:shd w:val="clear" w:color="auto" w:fill="FAF9F7"/>
              </w:rPr>
              <w:t xml:space="preserve">in their </w:t>
            </w:r>
            <w:r w:rsidRPr="00B56BA3">
              <w:rPr>
                <w:rFonts w:eastAsia="Meiryo" w:cs="Meiryo"/>
                <w:shd w:val="clear" w:color="auto" w:fill="FAF9F7"/>
              </w:rPr>
              <w:t>natural environment</w:t>
            </w:r>
            <w:r>
              <w:rPr>
                <w:rFonts w:eastAsia="Meiryo" w:cs="Meiryo"/>
                <w:shd w:val="clear" w:color="auto" w:fill="FAF9F7"/>
              </w:rPr>
              <w:t>s</w:t>
            </w:r>
            <w:r w:rsidRPr="00B56BA3">
              <w:rPr>
                <w:rFonts w:eastAsia="Meiryo" w:cs="Meiryo"/>
                <w:shd w:val="clear" w:color="auto" w:fill="FAF9F7"/>
              </w:rPr>
              <w:t xml:space="preserve"> without any </w:t>
            </w:r>
            <w:r>
              <w:rPr>
                <w:rFonts w:eastAsia="Meiryo" w:cs="Meiryo"/>
                <w:shd w:val="clear" w:color="auto" w:fill="FAF9F7"/>
              </w:rPr>
              <w:t xml:space="preserve">deliberate </w:t>
            </w:r>
            <w:r w:rsidRPr="00B56BA3">
              <w:rPr>
                <w:rFonts w:eastAsia="Meiryo" w:cs="Meiryo"/>
                <w:shd w:val="clear" w:color="auto" w:fill="FAF9F7"/>
              </w:rPr>
              <w:t xml:space="preserve">manipulation of the setting; while tallying can be used to collect quantitative data, </w:t>
            </w:r>
            <w:r>
              <w:rPr>
                <w:rFonts w:eastAsia="Meiryo" w:cs="Meiryo"/>
                <w:shd w:val="clear" w:color="auto" w:fill="FAF9F7"/>
              </w:rPr>
              <w:t xml:space="preserve">the researcher may record qualitative </w:t>
            </w:r>
            <w:r w:rsidRPr="00B56BA3">
              <w:rPr>
                <w:rFonts w:eastAsia="Meiryo" w:cs="Meiryo"/>
                <w:shd w:val="clear" w:color="auto" w:fill="FAF9F7"/>
              </w:rPr>
              <w:t>‘field notes’</w:t>
            </w:r>
            <w:r>
              <w:rPr>
                <w:rFonts w:cs="Arial"/>
                <w:bCs/>
                <w:shd w:val="clear" w:color="auto" w:fill="FFFFFF"/>
              </w:rPr>
              <w:t xml:space="preserve">, describing behaviours of interest while </w:t>
            </w:r>
            <w:r w:rsidRPr="00B56BA3">
              <w:rPr>
                <w:rFonts w:cs="Arial"/>
                <w:bCs/>
                <w:shd w:val="clear" w:color="auto" w:fill="FFFFFF"/>
              </w:rPr>
              <w:t xml:space="preserve">diagrams and sketches </w:t>
            </w:r>
            <w:r>
              <w:rPr>
                <w:rFonts w:cs="Arial"/>
                <w:bCs/>
                <w:shd w:val="clear" w:color="auto" w:fill="FFFFFF"/>
              </w:rPr>
              <w:t>may also be used.</w:t>
            </w:r>
          </w:p>
        </w:tc>
        <w:tc>
          <w:tcPr>
            <w:tcW w:w="5419" w:type="dxa"/>
          </w:tcPr>
          <w:p w:rsidR="00A2463E" w:rsidRDefault="00A2463E" w:rsidP="00A63AFD">
            <w:pPr>
              <w:rPr>
                <w:sz w:val="36"/>
                <w:szCs w:val="36"/>
              </w:rPr>
            </w:pPr>
            <w:r>
              <w:t>In</w:t>
            </w:r>
            <w:r w:rsidRPr="00EC7BBE">
              <w:t xml:space="preserve"> a </w:t>
            </w:r>
            <w:r>
              <w:t>covert</w:t>
            </w:r>
            <w:r w:rsidRPr="00EC7BBE">
              <w:t xml:space="preserve"> </w:t>
            </w:r>
            <w:r>
              <w:t xml:space="preserve">observation, participants are unaware of the observer and according to the BPS this is ethical if the study takes place in a public setting; data collected will be more credible as behaviour will be less inhibited and unaffected by demand characteristics or evaluation apprehension for example.  </w:t>
            </w:r>
          </w:p>
        </w:tc>
      </w:tr>
      <w:tr w:rsidR="00A2463E" w:rsidTr="00A2463E">
        <w:tc>
          <w:tcPr>
            <w:tcW w:w="1809" w:type="dxa"/>
          </w:tcPr>
          <w:p w:rsidR="00A2463E" w:rsidRPr="00D951B4" w:rsidRDefault="00A2463E">
            <w:pPr>
              <w:rPr>
                <w:sz w:val="28"/>
                <w:szCs w:val="36"/>
              </w:rPr>
            </w:pPr>
            <w:r w:rsidRPr="00D951B4">
              <w:rPr>
                <w:sz w:val="28"/>
                <w:szCs w:val="36"/>
              </w:rPr>
              <w:t>Case study</w:t>
            </w:r>
          </w:p>
        </w:tc>
        <w:tc>
          <w:tcPr>
            <w:tcW w:w="1701" w:type="dxa"/>
          </w:tcPr>
          <w:p w:rsidR="00A2463E" w:rsidRPr="00235516" w:rsidRDefault="00A2463E" w:rsidP="0081581A">
            <w:proofErr w:type="spellStart"/>
            <w:r>
              <w:t>QuaL</w:t>
            </w:r>
            <w:proofErr w:type="spellEnd"/>
          </w:p>
        </w:tc>
        <w:tc>
          <w:tcPr>
            <w:tcW w:w="5245" w:type="dxa"/>
          </w:tcPr>
          <w:p w:rsidR="00A2463E" w:rsidRPr="00235516" w:rsidRDefault="00A2463E" w:rsidP="0081581A">
            <w:r w:rsidRPr="00235516">
              <w:t xml:space="preserve">Case studies typically </w:t>
            </w:r>
            <w:r>
              <w:t xml:space="preserve">focus on a single individual, group or organisation that is unusual in some way; the researcher generally collects a detailed case history including secondary data from school reports or </w:t>
            </w:r>
            <w:r>
              <w:lastRenderedPageBreak/>
              <w:t>hospital records for example; this allows the researcher to gain necessary insight before collecting their own primary data.</w:t>
            </w:r>
          </w:p>
        </w:tc>
        <w:tc>
          <w:tcPr>
            <w:tcW w:w="5419" w:type="dxa"/>
          </w:tcPr>
          <w:p w:rsidR="00A2463E" w:rsidRDefault="00A2463E" w:rsidP="0081581A">
            <w:pPr>
              <w:rPr>
                <w:sz w:val="36"/>
                <w:szCs w:val="36"/>
              </w:rPr>
            </w:pPr>
            <w:r>
              <w:lastRenderedPageBreak/>
              <w:t xml:space="preserve">Case studies often comprise data that has been gathered using a variety of techniques including interview, observation and the use of standardised tests for example. This is known as method triangulation and </w:t>
            </w:r>
            <w:r>
              <w:lastRenderedPageBreak/>
              <w:t>results in a rich and detailed insight into the behaviours of interest.</w:t>
            </w:r>
          </w:p>
        </w:tc>
      </w:tr>
      <w:tr w:rsidR="00A2463E" w:rsidTr="00A2463E">
        <w:tc>
          <w:tcPr>
            <w:tcW w:w="1809" w:type="dxa"/>
          </w:tcPr>
          <w:p w:rsidR="00A2463E" w:rsidRPr="00D951B4" w:rsidRDefault="00A2463E">
            <w:pPr>
              <w:rPr>
                <w:sz w:val="28"/>
                <w:szCs w:val="36"/>
              </w:rPr>
            </w:pPr>
            <w:r>
              <w:rPr>
                <w:sz w:val="28"/>
                <w:szCs w:val="36"/>
              </w:rPr>
              <w:lastRenderedPageBreak/>
              <w:t>Unstructured i</w:t>
            </w:r>
            <w:r w:rsidRPr="00D951B4">
              <w:rPr>
                <w:sz w:val="28"/>
                <w:szCs w:val="36"/>
              </w:rPr>
              <w:t>nterview</w:t>
            </w:r>
          </w:p>
        </w:tc>
        <w:tc>
          <w:tcPr>
            <w:tcW w:w="1701" w:type="dxa"/>
          </w:tcPr>
          <w:p w:rsidR="00A2463E" w:rsidRDefault="00A2463E" w:rsidP="00F212A4">
            <w:proofErr w:type="spellStart"/>
            <w:r>
              <w:t>QuaL</w:t>
            </w:r>
            <w:proofErr w:type="spellEnd"/>
          </w:p>
        </w:tc>
        <w:tc>
          <w:tcPr>
            <w:tcW w:w="5245" w:type="dxa"/>
          </w:tcPr>
          <w:p w:rsidR="00A2463E" w:rsidRPr="00F212A4" w:rsidRDefault="00A2463E" w:rsidP="00F212A4">
            <w:r>
              <w:t xml:space="preserve">Unstructured interview </w:t>
            </w:r>
            <w:r w:rsidRPr="00A63AFD">
              <w:t xml:space="preserve">have a clear research objective </w:t>
            </w:r>
            <w:r>
              <w:t xml:space="preserve">and the interview schedule will include broad topics or themes for discussion; there may or may not be a </w:t>
            </w:r>
            <w:r w:rsidRPr="00A63AFD">
              <w:t>list of starter questions but the</w:t>
            </w:r>
            <w:r>
              <w:t xml:space="preserve"> defining features of this style of interview are flexibility and freedom; the direction of the interview is determined by the interviewee and the interviewer bases any questions asked on their previous responses.</w:t>
            </w:r>
          </w:p>
        </w:tc>
        <w:tc>
          <w:tcPr>
            <w:tcW w:w="5419" w:type="dxa"/>
          </w:tcPr>
          <w:p w:rsidR="00A2463E" w:rsidRPr="00A2463E" w:rsidRDefault="00A2463E">
            <w:r>
              <w:t xml:space="preserve">Unstructured interviewers need more training and experience to collect credible data; it can be hard to keep the interview on track and </w:t>
            </w:r>
            <w:r w:rsidRPr="00A63AFD">
              <w:t xml:space="preserve">achieve the research objective </w:t>
            </w:r>
            <w:r>
              <w:t xml:space="preserve">when there is no ‘script’ as such; </w:t>
            </w:r>
            <w:r w:rsidRPr="00A63AFD">
              <w:t>elicit</w:t>
            </w:r>
            <w:r>
              <w:t>ing</w:t>
            </w:r>
            <w:r w:rsidRPr="00A63AFD">
              <w:t xml:space="preserve"> relevant information</w:t>
            </w:r>
            <w:r>
              <w:t xml:space="preserve"> </w:t>
            </w:r>
            <w:r w:rsidRPr="00A63AFD">
              <w:t xml:space="preserve">without asking leading questions </w:t>
            </w:r>
            <w:r>
              <w:t>and with minimal guidance in the interview schedule requires practice and skill.</w:t>
            </w:r>
          </w:p>
        </w:tc>
      </w:tr>
      <w:tr w:rsidR="00A2463E" w:rsidTr="00A2463E">
        <w:tc>
          <w:tcPr>
            <w:tcW w:w="1809" w:type="dxa"/>
          </w:tcPr>
          <w:p w:rsidR="00A2463E" w:rsidRPr="00D951B4" w:rsidRDefault="00A2463E">
            <w:pPr>
              <w:rPr>
                <w:sz w:val="28"/>
                <w:szCs w:val="36"/>
              </w:rPr>
            </w:pPr>
            <w:r>
              <w:rPr>
                <w:sz w:val="28"/>
                <w:szCs w:val="36"/>
              </w:rPr>
              <w:t>Semi-structured interview</w:t>
            </w:r>
          </w:p>
        </w:tc>
        <w:tc>
          <w:tcPr>
            <w:tcW w:w="1701" w:type="dxa"/>
          </w:tcPr>
          <w:p w:rsidR="00A2463E" w:rsidRDefault="00A2463E">
            <w:pPr>
              <w:rPr>
                <w:sz w:val="36"/>
                <w:szCs w:val="36"/>
              </w:rPr>
            </w:pPr>
            <w:proofErr w:type="spellStart"/>
            <w:r>
              <w:t>QuaL</w:t>
            </w:r>
            <w:proofErr w:type="spellEnd"/>
          </w:p>
        </w:tc>
        <w:tc>
          <w:tcPr>
            <w:tcW w:w="5245" w:type="dxa"/>
          </w:tcPr>
          <w:p w:rsidR="00A2463E" w:rsidRDefault="00A2463E" w:rsidP="00787C46">
            <w:pPr>
              <w:rPr>
                <w:sz w:val="36"/>
                <w:szCs w:val="36"/>
              </w:rPr>
            </w:pPr>
            <w:r w:rsidRPr="00A2463E">
              <w:t>A semi-structured interview is more flexible than a structured interview</w:t>
            </w:r>
            <w:r>
              <w:t xml:space="preserve">; while there </w:t>
            </w:r>
            <w:r w:rsidRPr="00A2463E">
              <w:t xml:space="preserve">is a pre-determined set of questions </w:t>
            </w:r>
            <w:r w:rsidR="00787C46">
              <w:t>in the</w:t>
            </w:r>
            <w:r w:rsidRPr="00A2463E">
              <w:t xml:space="preserve"> interview schedule</w:t>
            </w:r>
            <w:r>
              <w:t xml:space="preserve">, the interviewer </w:t>
            </w:r>
            <w:r w:rsidR="00787C46">
              <w:t>may</w:t>
            </w:r>
            <w:r>
              <w:t xml:space="preserve"> deviate from th</w:t>
            </w:r>
            <w:r w:rsidR="00787C46">
              <w:t xml:space="preserve">is, </w:t>
            </w:r>
            <w:r>
              <w:t>ask</w:t>
            </w:r>
            <w:r w:rsidR="00787C46">
              <w:t>ing</w:t>
            </w:r>
            <w:r>
              <w:t xml:space="preserve"> follow-on questions if the interviewee </w:t>
            </w:r>
            <w:r w:rsidR="00787C46">
              <w:t xml:space="preserve">presents an </w:t>
            </w:r>
            <w:r>
              <w:t>unanticipated and relevant view; the interviewer may also rephrase questions and alter the order as appropriate</w:t>
            </w:r>
            <w:r w:rsidR="00787C46">
              <w:t>.</w:t>
            </w:r>
          </w:p>
        </w:tc>
        <w:tc>
          <w:tcPr>
            <w:tcW w:w="5419" w:type="dxa"/>
          </w:tcPr>
          <w:p w:rsidR="00A2463E" w:rsidRPr="0037654F" w:rsidRDefault="0037654F">
            <w:r>
              <w:t xml:space="preserve">The semi-structured </w:t>
            </w:r>
            <w:r w:rsidRPr="0037654F">
              <w:t xml:space="preserve">Interview schedule may include both open and closed questions: </w:t>
            </w:r>
            <w:r>
              <w:t xml:space="preserve"> </w:t>
            </w:r>
            <w:r w:rsidRPr="0037654F">
              <w:t>open questions prompt longer, richer answers from respondent allowing them to elaborate in their own words without being gui</w:t>
            </w:r>
            <w:r>
              <w:t>ded in any particular direction</w:t>
            </w:r>
            <w:r w:rsidRPr="0037654F">
              <w:t xml:space="preserve"> by the interviewer</w:t>
            </w:r>
            <w:r>
              <w:t xml:space="preserve"> while </w:t>
            </w:r>
            <w:r w:rsidRPr="0037654F">
              <w:t xml:space="preserve">closed questions result in brief, precise answers of just a few words. </w:t>
            </w:r>
          </w:p>
        </w:tc>
      </w:tr>
      <w:tr w:rsidR="00A2463E" w:rsidTr="00A2463E">
        <w:tc>
          <w:tcPr>
            <w:tcW w:w="1809" w:type="dxa"/>
          </w:tcPr>
          <w:p w:rsidR="00A2463E" w:rsidRPr="00D951B4" w:rsidRDefault="00A2463E" w:rsidP="00A63AFD">
            <w:pPr>
              <w:rPr>
                <w:sz w:val="28"/>
                <w:szCs w:val="36"/>
              </w:rPr>
            </w:pPr>
            <w:r>
              <w:rPr>
                <w:sz w:val="28"/>
                <w:szCs w:val="36"/>
              </w:rPr>
              <w:t>Focus Group</w:t>
            </w:r>
          </w:p>
        </w:tc>
        <w:tc>
          <w:tcPr>
            <w:tcW w:w="1701" w:type="dxa"/>
          </w:tcPr>
          <w:p w:rsidR="00A2463E" w:rsidRDefault="00A2463E">
            <w:pPr>
              <w:rPr>
                <w:sz w:val="36"/>
                <w:szCs w:val="36"/>
              </w:rPr>
            </w:pPr>
            <w:proofErr w:type="spellStart"/>
            <w:r>
              <w:t>QuaL</w:t>
            </w:r>
            <w:proofErr w:type="spellEnd"/>
          </w:p>
        </w:tc>
        <w:tc>
          <w:tcPr>
            <w:tcW w:w="5245" w:type="dxa"/>
          </w:tcPr>
          <w:p w:rsidR="00A2463E" w:rsidRDefault="0037654F" w:rsidP="005633B7">
            <w:pPr>
              <w:rPr>
                <w:sz w:val="36"/>
                <w:szCs w:val="36"/>
              </w:rPr>
            </w:pPr>
            <w:r w:rsidRPr="0037654F">
              <w:t>A f</w:t>
            </w:r>
            <w:r>
              <w:t xml:space="preserve">ocus group comprises 8-12 people who are interviewed together </w:t>
            </w:r>
            <w:r w:rsidRPr="0037654F">
              <w:t>about a topic</w:t>
            </w:r>
            <w:r>
              <w:t xml:space="preserve"> of common interest; this size group works well </w:t>
            </w:r>
            <w:r w:rsidR="005633B7">
              <w:t xml:space="preserve">allowing all members to have their say; </w:t>
            </w:r>
            <w:r w:rsidRPr="0037654F">
              <w:t xml:space="preserve">people </w:t>
            </w:r>
            <w:r>
              <w:t xml:space="preserve">who share similar experiences </w:t>
            </w:r>
            <w:r w:rsidR="005633B7">
              <w:t xml:space="preserve">tend to </w:t>
            </w:r>
            <w:r>
              <w:t>bond together, developing a sense of belonging and trust which help</w:t>
            </w:r>
            <w:r w:rsidR="005633B7">
              <w:t>s</w:t>
            </w:r>
            <w:r>
              <w:t xml:space="preserve"> them to talk freely about </w:t>
            </w:r>
            <w:r w:rsidR="005633B7">
              <w:t xml:space="preserve">even </w:t>
            </w:r>
            <w:r>
              <w:t xml:space="preserve">sensitive issues. </w:t>
            </w:r>
          </w:p>
        </w:tc>
        <w:tc>
          <w:tcPr>
            <w:tcW w:w="5419" w:type="dxa"/>
          </w:tcPr>
          <w:p w:rsidR="00000000" w:rsidRPr="005633B7" w:rsidRDefault="005633B7" w:rsidP="005633B7">
            <w:r>
              <w:t xml:space="preserve">In a focus group the researcher become the </w:t>
            </w:r>
            <w:r w:rsidR="009A6A48" w:rsidRPr="005633B7">
              <w:t xml:space="preserve">group facilitator </w:t>
            </w:r>
            <w:bookmarkStart w:id="0" w:name="_GoBack"/>
            <w:bookmarkEnd w:id="0"/>
            <w:r>
              <w:t xml:space="preserve">and their role is to </w:t>
            </w:r>
            <w:r w:rsidR="009A6A48" w:rsidRPr="005633B7">
              <w:t>monitor the discussion, keep the</w:t>
            </w:r>
            <w:r>
              <w:t xml:space="preserve"> group</w:t>
            </w:r>
            <w:r w:rsidR="009A6A48" w:rsidRPr="005633B7">
              <w:t xml:space="preserve"> on th</w:t>
            </w:r>
            <w:r>
              <w:t xml:space="preserve">e topic if they veer off into an irrelevant </w:t>
            </w:r>
            <w:r w:rsidR="009A6A48" w:rsidRPr="005633B7">
              <w:t>topic</w:t>
            </w:r>
            <w:r w:rsidR="009A6A48" w:rsidRPr="005633B7">
              <w:t xml:space="preserve">; </w:t>
            </w:r>
            <w:r>
              <w:t xml:space="preserve">they must </w:t>
            </w:r>
            <w:r w:rsidR="009A6A48" w:rsidRPr="005633B7">
              <w:t xml:space="preserve">ensure </w:t>
            </w:r>
            <w:r>
              <w:t>that all issues raised are responded to and</w:t>
            </w:r>
            <w:r w:rsidR="009A6A48" w:rsidRPr="005633B7">
              <w:t xml:space="preserve"> explored </w:t>
            </w:r>
            <w:r>
              <w:t xml:space="preserve">as fully as possible </w:t>
            </w:r>
            <w:r w:rsidR="009A6A48" w:rsidRPr="005633B7">
              <w:t>within the time availabl</w:t>
            </w:r>
            <w:r w:rsidR="009A6A48" w:rsidRPr="005633B7">
              <w:t>e</w:t>
            </w:r>
            <w:r>
              <w:t>.</w:t>
            </w:r>
          </w:p>
          <w:p w:rsidR="00A2463E" w:rsidRDefault="00A2463E">
            <w:pPr>
              <w:rPr>
                <w:sz w:val="36"/>
                <w:szCs w:val="36"/>
              </w:rPr>
            </w:pPr>
          </w:p>
        </w:tc>
      </w:tr>
    </w:tbl>
    <w:p w:rsidR="00D951B4" w:rsidRPr="00D951B4" w:rsidRDefault="00D951B4">
      <w:pPr>
        <w:rPr>
          <w:sz w:val="36"/>
          <w:szCs w:val="36"/>
        </w:rPr>
      </w:pPr>
    </w:p>
    <w:sectPr w:rsidR="00D951B4" w:rsidRPr="00D951B4" w:rsidSect="00D951B4">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A48" w:rsidRDefault="009A6A48" w:rsidP="00A2463E">
      <w:pPr>
        <w:spacing w:after="0" w:line="240" w:lineRule="auto"/>
      </w:pPr>
      <w:r>
        <w:separator/>
      </w:r>
    </w:p>
  </w:endnote>
  <w:endnote w:type="continuationSeparator" w:id="0">
    <w:p w:rsidR="009A6A48" w:rsidRDefault="009A6A48" w:rsidP="00A2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A48" w:rsidRDefault="009A6A48" w:rsidP="00A2463E">
      <w:pPr>
        <w:spacing w:after="0" w:line="240" w:lineRule="auto"/>
      </w:pPr>
      <w:r>
        <w:separator/>
      </w:r>
    </w:p>
  </w:footnote>
  <w:footnote w:type="continuationSeparator" w:id="0">
    <w:p w:rsidR="009A6A48" w:rsidRDefault="009A6A48" w:rsidP="00A24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2126"/>
      <w:gridCol w:w="12048"/>
    </w:tblGrid>
    <w:tr w:rsidR="0037654F">
      <w:trPr>
        <w:trHeight w:val="475"/>
      </w:trPr>
      <w:sdt>
        <w:sdtPr>
          <w:rPr>
            <w:color w:val="FFFFFF" w:themeColor="background1"/>
          </w:rPr>
          <w:alias w:val="Date"/>
          <w:id w:val="78223375"/>
          <w:placeholder>
            <w:docPart w:val="BE1594B69EBA44B0BBEBFA8D6E4CCBFF"/>
          </w:placeholder>
          <w:dataBinding w:prefixMappings="xmlns:ns0='http://schemas.microsoft.com/office/2006/coverPageProps'" w:xpath="/ns0:CoverPageProperties[1]/ns0:PublishDate[1]" w:storeItemID="{55AF091B-3C7A-41E3-B477-F2FDAA23CFDA}"/>
          <w:date w:fullDate="2019-02-01T00:00:00Z">
            <w:dateFormat w:val="MMMM d, yyyy"/>
            <w:lid w:val="en-US"/>
            <w:storeMappedDataAs w:val="dateTime"/>
            <w:calendar w:val="gregorian"/>
          </w:date>
        </w:sdtPr>
        <w:sdtContent>
          <w:tc>
            <w:tcPr>
              <w:tcW w:w="750" w:type="pct"/>
              <w:shd w:val="clear" w:color="auto" w:fill="000000" w:themeFill="text1"/>
            </w:tcPr>
            <w:p w:rsidR="0037654F" w:rsidRDefault="0037654F" w:rsidP="00A2463E">
              <w:pPr>
                <w:pStyle w:val="Header"/>
                <w:rPr>
                  <w:color w:val="FFFFFF" w:themeColor="background1"/>
                </w:rPr>
              </w:pPr>
              <w:r>
                <w:rPr>
                  <w:color w:val="FFFFFF" w:themeColor="background1"/>
                  <w:lang w:val="en-US"/>
                </w:rPr>
                <w:t>February 1, 2019</w:t>
              </w:r>
            </w:p>
          </w:tc>
        </w:sdtContent>
      </w:sdt>
      <w:sdt>
        <w:sdtPr>
          <w:rPr>
            <w:caps/>
            <w:color w:val="FFFFFF" w:themeColor="background1"/>
          </w:rPr>
          <w:alias w:val="Title"/>
          <w:id w:val="78223368"/>
          <w:placeholder>
            <w:docPart w:val="0E60ED9C778A4C1384627223BDF6B997"/>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37654F" w:rsidRDefault="0037654F" w:rsidP="00A2463E">
              <w:pPr>
                <w:pStyle w:val="Header"/>
                <w:rPr>
                  <w:caps/>
                  <w:color w:val="FFFFFF" w:themeColor="background1"/>
                </w:rPr>
              </w:pPr>
              <w:r>
                <w:rPr>
                  <w:caps/>
                  <w:color w:val="FFFFFF" w:themeColor="background1"/>
                </w:rPr>
                <w:t>IB Psychology: Paper 3 Revision</w:t>
              </w:r>
            </w:p>
          </w:tc>
        </w:sdtContent>
      </w:sdt>
    </w:tr>
  </w:tbl>
  <w:p w:rsidR="0037654F" w:rsidRDefault="003765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60B6F"/>
    <w:multiLevelType w:val="hybridMultilevel"/>
    <w:tmpl w:val="B6660242"/>
    <w:lvl w:ilvl="0" w:tplc="17EE6078">
      <w:start w:val="1"/>
      <w:numFmt w:val="bullet"/>
      <w:lvlText w:val="•"/>
      <w:lvlJc w:val="left"/>
      <w:pPr>
        <w:tabs>
          <w:tab w:val="num" w:pos="720"/>
        </w:tabs>
        <w:ind w:left="720" w:hanging="360"/>
      </w:pPr>
      <w:rPr>
        <w:rFonts w:ascii="Arial" w:hAnsi="Arial" w:hint="default"/>
      </w:rPr>
    </w:lvl>
    <w:lvl w:ilvl="1" w:tplc="42A8B988">
      <w:start w:val="4113"/>
      <w:numFmt w:val="bullet"/>
      <w:lvlText w:val="–"/>
      <w:lvlJc w:val="left"/>
      <w:pPr>
        <w:tabs>
          <w:tab w:val="num" w:pos="1440"/>
        </w:tabs>
        <w:ind w:left="1440" w:hanging="360"/>
      </w:pPr>
      <w:rPr>
        <w:rFonts w:ascii="Arial" w:hAnsi="Arial" w:hint="default"/>
      </w:rPr>
    </w:lvl>
    <w:lvl w:ilvl="2" w:tplc="124091A4" w:tentative="1">
      <w:start w:val="1"/>
      <w:numFmt w:val="bullet"/>
      <w:lvlText w:val="•"/>
      <w:lvlJc w:val="left"/>
      <w:pPr>
        <w:tabs>
          <w:tab w:val="num" w:pos="2160"/>
        </w:tabs>
        <w:ind w:left="2160" w:hanging="360"/>
      </w:pPr>
      <w:rPr>
        <w:rFonts w:ascii="Arial" w:hAnsi="Arial" w:hint="default"/>
      </w:rPr>
    </w:lvl>
    <w:lvl w:ilvl="3" w:tplc="B27011B2" w:tentative="1">
      <w:start w:val="1"/>
      <w:numFmt w:val="bullet"/>
      <w:lvlText w:val="•"/>
      <w:lvlJc w:val="left"/>
      <w:pPr>
        <w:tabs>
          <w:tab w:val="num" w:pos="2880"/>
        </w:tabs>
        <w:ind w:left="2880" w:hanging="360"/>
      </w:pPr>
      <w:rPr>
        <w:rFonts w:ascii="Arial" w:hAnsi="Arial" w:hint="default"/>
      </w:rPr>
    </w:lvl>
    <w:lvl w:ilvl="4" w:tplc="35568890" w:tentative="1">
      <w:start w:val="1"/>
      <w:numFmt w:val="bullet"/>
      <w:lvlText w:val="•"/>
      <w:lvlJc w:val="left"/>
      <w:pPr>
        <w:tabs>
          <w:tab w:val="num" w:pos="3600"/>
        </w:tabs>
        <w:ind w:left="3600" w:hanging="360"/>
      </w:pPr>
      <w:rPr>
        <w:rFonts w:ascii="Arial" w:hAnsi="Arial" w:hint="default"/>
      </w:rPr>
    </w:lvl>
    <w:lvl w:ilvl="5" w:tplc="9CC84C6E" w:tentative="1">
      <w:start w:val="1"/>
      <w:numFmt w:val="bullet"/>
      <w:lvlText w:val="•"/>
      <w:lvlJc w:val="left"/>
      <w:pPr>
        <w:tabs>
          <w:tab w:val="num" w:pos="4320"/>
        </w:tabs>
        <w:ind w:left="4320" w:hanging="360"/>
      </w:pPr>
      <w:rPr>
        <w:rFonts w:ascii="Arial" w:hAnsi="Arial" w:hint="default"/>
      </w:rPr>
    </w:lvl>
    <w:lvl w:ilvl="6" w:tplc="74C4E072" w:tentative="1">
      <w:start w:val="1"/>
      <w:numFmt w:val="bullet"/>
      <w:lvlText w:val="•"/>
      <w:lvlJc w:val="left"/>
      <w:pPr>
        <w:tabs>
          <w:tab w:val="num" w:pos="5040"/>
        </w:tabs>
        <w:ind w:left="5040" w:hanging="360"/>
      </w:pPr>
      <w:rPr>
        <w:rFonts w:ascii="Arial" w:hAnsi="Arial" w:hint="default"/>
      </w:rPr>
    </w:lvl>
    <w:lvl w:ilvl="7" w:tplc="33CCA092" w:tentative="1">
      <w:start w:val="1"/>
      <w:numFmt w:val="bullet"/>
      <w:lvlText w:val="•"/>
      <w:lvlJc w:val="left"/>
      <w:pPr>
        <w:tabs>
          <w:tab w:val="num" w:pos="5760"/>
        </w:tabs>
        <w:ind w:left="5760" w:hanging="360"/>
      </w:pPr>
      <w:rPr>
        <w:rFonts w:ascii="Arial" w:hAnsi="Arial" w:hint="default"/>
      </w:rPr>
    </w:lvl>
    <w:lvl w:ilvl="8" w:tplc="7BD2AE24" w:tentative="1">
      <w:start w:val="1"/>
      <w:numFmt w:val="bullet"/>
      <w:lvlText w:val="•"/>
      <w:lvlJc w:val="left"/>
      <w:pPr>
        <w:tabs>
          <w:tab w:val="num" w:pos="6480"/>
        </w:tabs>
        <w:ind w:left="6480" w:hanging="360"/>
      </w:pPr>
      <w:rPr>
        <w:rFonts w:ascii="Arial" w:hAnsi="Arial" w:hint="default"/>
      </w:rPr>
    </w:lvl>
  </w:abstractNum>
  <w:abstractNum w:abstractNumId="1">
    <w:nsid w:val="330B74C3"/>
    <w:multiLevelType w:val="hybridMultilevel"/>
    <w:tmpl w:val="80244CD0"/>
    <w:lvl w:ilvl="0" w:tplc="44FE5B08">
      <w:start w:val="1"/>
      <w:numFmt w:val="bullet"/>
      <w:lvlText w:val="•"/>
      <w:lvlJc w:val="left"/>
      <w:pPr>
        <w:tabs>
          <w:tab w:val="num" w:pos="720"/>
        </w:tabs>
        <w:ind w:left="720" w:hanging="360"/>
      </w:pPr>
      <w:rPr>
        <w:rFonts w:ascii="Arial" w:hAnsi="Arial" w:hint="default"/>
      </w:rPr>
    </w:lvl>
    <w:lvl w:ilvl="1" w:tplc="D6122B92">
      <w:start w:val="4541"/>
      <w:numFmt w:val="bullet"/>
      <w:lvlText w:val="–"/>
      <w:lvlJc w:val="left"/>
      <w:pPr>
        <w:tabs>
          <w:tab w:val="num" w:pos="1440"/>
        </w:tabs>
        <w:ind w:left="1440" w:hanging="360"/>
      </w:pPr>
      <w:rPr>
        <w:rFonts w:ascii="Arial" w:hAnsi="Arial" w:hint="default"/>
      </w:rPr>
    </w:lvl>
    <w:lvl w:ilvl="2" w:tplc="DD9059AE" w:tentative="1">
      <w:start w:val="1"/>
      <w:numFmt w:val="bullet"/>
      <w:lvlText w:val="•"/>
      <w:lvlJc w:val="left"/>
      <w:pPr>
        <w:tabs>
          <w:tab w:val="num" w:pos="2160"/>
        </w:tabs>
        <w:ind w:left="2160" w:hanging="360"/>
      </w:pPr>
      <w:rPr>
        <w:rFonts w:ascii="Arial" w:hAnsi="Arial" w:hint="default"/>
      </w:rPr>
    </w:lvl>
    <w:lvl w:ilvl="3" w:tplc="F748124C" w:tentative="1">
      <w:start w:val="1"/>
      <w:numFmt w:val="bullet"/>
      <w:lvlText w:val="•"/>
      <w:lvlJc w:val="left"/>
      <w:pPr>
        <w:tabs>
          <w:tab w:val="num" w:pos="2880"/>
        </w:tabs>
        <w:ind w:left="2880" w:hanging="360"/>
      </w:pPr>
      <w:rPr>
        <w:rFonts w:ascii="Arial" w:hAnsi="Arial" w:hint="default"/>
      </w:rPr>
    </w:lvl>
    <w:lvl w:ilvl="4" w:tplc="38708D14" w:tentative="1">
      <w:start w:val="1"/>
      <w:numFmt w:val="bullet"/>
      <w:lvlText w:val="•"/>
      <w:lvlJc w:val="left"/>
      <w:pPr>
        <w:tabs>
          <w:tab w:val="num" w:pos="3600"/>
        </w:tabs>
        <w:ind w:left="3600" w:hanging="360"/>
      </w:pPr>
      <w:rPr>
        <w:rFonts w:ascii="Arial" w:hAnsi="Arial" w:hint="default"/>
      </w:rPr>
    </w:lvl>
    <w:lvl w:ilvl="5" w:tplc="D416D36E" w:tentative="1">
      <w:start w:val="1"/>
      <w:numFmt w:val="bullet"/>
      <w:lvlText w:val="•"/>
      <w:lvlJc w:val="left"/>
      <w:pPr>
        <w:tabs>
          <w:tab w:val="num" w:pos="4320"/>
        </w:tabs>
        <w:ind w:left="4320" w:hanging="360"/>
      </w:pPr>
      <w:rPr>
        <w:rFonts w:ascii="Arial" w:hAnsi="Arial" w:hint="default"/>
      </w:rPr>
    </w:lvl>
    <w:lvl w:ilvl="6" w:tplc="B25C1132" w:tentative="1">
      <w:start w:val="1"/>
      <w:numFmt w:val="bullet"/>
      <w:lvlText w:val="•"/>
      <w:lvlJc w:val="left"/>
      <w:pPr>
        <w:tabs>
          <w:tab w:val="num" w:pos="5040"/>
        </w:tabs>
        <w:ind w:left="5040" w:hanging="360"/>
      </w:pPr>
      <w:rPr>
        <w:rFonts w:ascii="Arial" w:hAnsi="Arial" w:hint="default"/>
      </w:rPr>
    </w:lvl>
    <w:lvl w:ilvl="7" w:tplc="1374B12E" w:tentative="1">
      <w:start w:val="1"/>
      <w:numFmt w:val="bullet"/>
      <w:lvlText w:val="•"/>
      <w:lvlJc w:val="left"/>
      <w:pPr>
        <w:tabs>
          <w:tab w:val="num" w:pos="5760"/>
        </w:tabs>
        <w:ind w:left="5760" w:hanging="360"/>
      </w:pPr>
      <w:rPr>
        <w:rFonts w:ascii="Arial" w:hAnsi="Arial" w:hint="default"/>
      </w:rPr>
    </w:lvl>
    <w:lvl w:ilvl="8" w:tplc="B058B958" w:tentative="1">
      <w:start w:val="1"/>
      <w:numFmt w:val="bullet"/>
      <w:lvlText w:val="•"/>
      <w:lvlJc w:val="left"/>
      <w:pPr>
        <w:tabs>
          <w:tab w:val="num" w:pos="6480"/>
        </w:tabs>
        <w:ind w:left="6480" w:hanging="360"/>
      </w:pPr>
      <w:rPr>
        <w:rFonts w:ascii="Arial" w:hAnsi="Arial" w:hint="default"/>
      </w:rPr>
    </w:lvl>
  </w:abstractNum>
  <w:abstractNum w:abstractNumId="2">
    <w:nsid w:val="5B034DEB"/>
    <w:multiLevelType w:val="hybridMultilevel"/>
    <w:tmpl w:val="E508019C"/>
    <w:lvl w:ilvl="0" w:tplc="FEFA745A">
      <w:start w:val="1"/>
      <w:numFmt w:val="bullet"/>
      <w:lvlText w:val="•"/>
      <w:lvlJc w:val="left"/>
      <w:pPr>
        <w:tabs>
          <w:tab w:val="num" w:pos="720"/>
        </w:tabs>
        <w:ind w:left="720" w:hanging="360"/>
      </w:pPr>
      <w:rPr>
        <w:rFonts w:ascii="Arial" w:hAnsi="Arial" w:hint="default"/>
      </w:rPr>
    </w:lvl>
    <w:lvl w:ilvl="1" w:tplc="19D8CCE0">
      <w:start w:val="4034"/>
      <w:numFmt w:val="bullet"/>
      <w:lvlText w:val="–"/>
      <w:lvlJc w:val="left"/>
      <w:pPr>
        <w:tabs>
          <w:tab w:val="num" w:pos="1440"/>
        </w:tabs>
        <w:ind w:left="1440" w:hanging="360"/>
      </w:pPr>
      <w:rPr>
        <w:rFonts w:ascii="Arial" w:hAnsi="Arial" w:hint="default"/>
      </w:rPr>
    </w:lvl>
    <w:lvl w:ilvl="2" w:tplc="36163B74" w:tentative="1">
      <w:start w:val="1"/>
      <w:numFmt w:val="bullet"/>
      <w:lvlText w:val="•"/>
      <w:lvlJc w:val="left"/>
      <w:pPr>
        <w:tabs>
          <w:tab w:val="num" w:pos="2160"/>
        </w:tabs>
        <w:ind w:left="2160" w:hanging="360"/>
      </w:pPr>
      <w:rPr>
        <w:rFonts w:ascii="Arial" w:hAnsi="Arial" w:hint="default"/>
      </w:rPr>
    </w:lvl>
    <w:lvl w:ilvl="3" w:tplc="465EFDEC" w:tentative="1">
      <w:start w:val="1"/>
      <w:numFmt w:val="bullet"/>
      <w:lvlText w:val="•"/>
      <w:lvlJc w:val="left"/>
      <w:pPr>
        <w:tabs>
          <w:tab w:val="num" w:pos="2880"/>
        </w:tabs>
        <w:ind w:left="2880" w:hanging="360"/>
      </w:pPr>
      <w:rPr>
        <w:rFonts w:ascii="Arial" w:hAnsi="Arial" w:hint="default"/>
      </w:rPr>
    </w:lvl>
    <w:lvl w:ilvl="4" w:tplc="E06E92A2" w:tentative="1">
      <w:start w:val="1"/>
      <w:numFmt w:val="bullet"/>
      <w:lvlText w:val="•"/>
      <w:lvlJc w:val="left"/>
      <w:pPr>
        <w:tabs>
          <w:tab w:val="num" w:pos="3600"/>
        </w:tabs>
        <w:ind w:left="3600" w:hanging="360"/>
      </w:pPr>
      <w:rPr>
        <w:rFonts w:ascii="Arial" w:hAnsi="Arial" w:hint="default"/>
      </w:rPr>
    </w:lvl>
    <w:lvl w:ilvl="5" w:tplc="BF26A2AA" w:tentative="1">
      <w:start w:val="1"/>
      <w:numFmt w:val="bullet"/>
      <w:lvlText w:val="•"/>
      <w:lvlJc w:val="left"/>
      <w:pPr>
        <w:tabs>
          <w:tab w:val="num" w:pos="4320"/>
        </w:tabs>
        <w:ind w:left="4320" w:hanging="360"/>
      </w:pPr>
      <w:rPr>
        <w:rFonts w:ascii="Arial" w:hAnsi="Arial" w:hint="default"/>
      </w:rPr>
    </w:lvl>
    <w:lvl w:ilvl="6" w:tplc="011A9B12" w:tentative="1">
      <w:start w:val="1"/>
      <w:numFmt w:val="bullet"/>
      <w:lvlText w:val="•"/>
      <w:lvlJc w:val="left"/>
      <w:pPr>
        <w:tabs>
          <w:tab w:val="num" w:pos="5040"/>
        </w:tabs>
        <w:ind w:left="5040" w:hanging="360"/>
      </w:pPr>
      <w:rPr>
        <w:rFonts w:ascii="Arial" w:hAnsi="Arial" w:hint="default"/>
      </w:rPr>
    </w:lvl>
    <w:lvl w:ilvl="7" w:tplc="6EDA0338" w:tentative="1">
      <w:start w:val="1"/>
      <w:numFmt w:val="bullet"/>
      <w:lvlText w:val="•"/>
      <w:lvlJc w:val="left"/>
      <w:pPr>
        <w:tabs>
          <w:tab w:val="num" w:pos="5760"/>
        </w:tabs>
        <w:ind w:left="5760" w:hanging="360"/>
      </w:pPr>
      <w:rPr>
        <w:rFonts w:ascii="Arial" w:hAnsi="Arial" w:hint="default"/>
      </w:rPr>
    </w:lvl>
    <w:lvl w:ilvl="8" w:tplc="DC74D898" w:tentative="1">
      <w:start w:val="1"/>
      <w:numFmt w:val="bullet"/>
      <w:lvlText w:val="•"/>
      <w:lvlJc w:val="left"/>
      <w:pPr>
        <w:tabs>
          <w:tab w:val="num" w:pos="6480"/>
        </w:tabs>
        <w:ind w:left="6480" w:hanging="360"/>
      </w:pPr>
      <w:rPr>
        <w:rFonts w:ascii="Arial" w:hAnsi="Arial" w:hint="default"/>
      </w:rPr>
    </w:lvl>
  </w:abstractNum>
  <w:abstractNum w:abstractNumId="3">
    <w:nsid w:val="7675284B"/>
    <w:multiLevelType w:val="hybridMultilevel"/>
    <w:tmpl w:val="E38C251A"/>
    <w:lvl w:ilvl="0" w:tplc="C1D6B516">
      <w:start w:val="1"/>
      <w:numFmt w:val="bullet"/>
      <w:lvlText w:val="•"/>
      <w:lvlJc w:val="left"/>
      <w:pPr>
        <w:tabs>
          <w:tab w:val="num" w:pos="720"/>
        </w:tabs>
        <w:ind w:left="720" w:hanging="360"/>
      </w:pPr>
      <w:rPr>
        <w:rFonts w:ascii="Arial" w:hAnsi="Arial" w:hint="default"/>
      </w:rPr>
    </w:lvl>
    <w:lvl w:ilvl="1" w:tplc="B9826314">
      <w:start w:val="4113"/>
      <w:numFmt w:val="bullet"/>
      <w:lvlText w:val="–"/>
      <w:lvlJc w:val="left"/>
      <w:pPr>
        <w:tabs>
          <w:tab w:val="num" w:pos="1440"/>
        </w:tabs>
        <w:ind w:left="1440" w:hanging="360"/>
      </w:pPr>
      <w:rPr>
        <w:rFonts w:ascii="Arial" w:hAnsi="Arial" w:hint="default"/>
      </w:rPr>
    </w:lvl>
    <w:lvl w:ilvl="2" w:tplc="4AB679FC" w:tentative="1">
      <w:start w:val="1"/>
      <w:numFmt w:val="bullet"/>
      <w:lvlText w:val="•"/>
      <w:lvlJc w:val="left"/>
      <w:pPr>
        <w:tabs>
          <w:tab w:val="num" w:pos="2160"/>
        </w:tabs>
        <w:ind w:left="2160" w:hanging="360"/>
      </w:pPr>
      <w:rPr>
        <w:rFonts w:ascii="Arial" w:hAnsi="Arial" w:hint="default"/>
      </w:rPr>
    </w:lvl>
    <w:lvl w:ilvl="3" w:tplc="5F9A0750" w:tentative="1">
      <w:start w:val="1"/>
      <w:numFmt w:val="bullet"/>
      <w:lvlText w:val="•"/>
      <w:lvlJc w:val="left"/>
      <w:pPr>
        <w:tabs>
          <w:tab w:val="num" w:pos="2880"/>
        </w:tabs>
        <w:ind w:left="2880" w:hanging="360"/>
      </w:pPr>
      <w:rPr>
        <w:rFonts w:ascii="Arial" w:hAnsi="Arial" w:hint="default"/>
      </w:rPr>
    </w:lvl>
    <w:lvl w:ilvl="4" w:tplc="0048158A" w:tentative="1">
      <w:start w:val="1"/>
      <w:numFmt w:val="bullet"/>
      <w:lvlText w:val="•"/>
      <w:lvlJc w:val="left"/>
      <w:pPr>
        <w:tabs>
          <w:tab w:val="num" w:pos="3600"/>
        </w:tabs>
        <w:ind w:left="3600" w:hanging="360"/>
      </w:pPr>
      <w:rPr>
        <w:rFonts w:ascii="Arial" w:hAnsi="Arial" w:hint="default"/>
      </w:rPr>
    </w:lvl>
    <w:lvl w:ilvl="5" w:tplc="C1821CA2" w:tentative="1">
      <w:start w:val="1"/>
      <w:numFmt w:val="bullet"/>
      <w:lvlText w:val="•"/>
      <w:lvlJc w:val="left"/>
      <w:pPr>
        <w:tabs>
          <w:tab w:val="num" w:pos="4320"/>
        </w:tabs>
        <w:ind w:left="4320" w:hanging="360"/>
      </w:pPr>
      <w:rPr>
        <w:rFonts w:ascii="Arial" w:hAnsi="Arial" w:hint="default"/>
      </w:rPr>
    </w:lvl>
    <w:lvl w:ilvl="6" w:tplc="C414BF10" w:tentative="1">
      <w:start w:val="1"/>
      <w:numFmt w:val="bullet"/>
      <w:lvlText w:val="•"/>
      <w:lvlJc w:val="left"/>
      <w:pPr>
        <w:tabs>
          <w:tab w:val="num" w:pos="5040"/>
        </w:tabs>
        <w:ind w:left="5040" w:hanging="360"/>
      </w:pPr>
      <w:rPr>
        <w:rFonts w:ascii="Arial" w:hAnsi="Arial" w:hint="default"/>
      </w:rPr>
    </w:lvl>
    <w:lvl w:ilvl="7" w:tplc="3AB250DA" w:tentative="1">
      <w:start w:val="1"/>
      <w:numFmt w:val="bullet"/>
      <w:lvlText w:val="•"/>
      <w:lvlJc w:val="left"/>
      <w:pPr>
        <w:tabs>
          <w:tab w:val="num" w:pos="5760"/>
        </w:tabs>
        <w:ind w:left="5760" w:hanging="360"/>
      </w:pPr>
      <w:rPr>
        <w:rFonts w:ascii="Arial" w:hAnsi="Arial" w:hint="default"/>
      </w:rPr>
    </w:lvl>
    <w:lvl w:ilvl="8" w:tplc="28EE765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1B4"/>
    <w:rsid w:val="0003387E"/>
    <w:rsid w:val="001C5459"/>
    <w:rsid w:val="00235516"/>
    <w:rsid w:val="00295AE7"/>
    <w:rsid w:val="0037654F"/>
    <w:rsid w:val="005633B7"/>
    <w:rsid w:val="006802B0"/>
    <w:rsid w:val="00787C46"/>
    <w:rsid w:val="0081581A"/>
    <w:rsid w:val="00962199"/>
    <w:rsid w:val="009A6A48"/>
    <w:rsid w:val="00A2463E"/>
    <w:rsid w:val="00A63AFD"/>
    <w:rsid w:val="00B56BA3"/>
    <w:rsid w:val="00B80984"/>
    <w:rsid w:val="00CC5D74"/>
    <w:rsid w:val="00D951B4"/>
    <w:rsid w:val="00DB0DD5"/>
    <w:rsid w:val="00EC7BBE"/>
    <w:rsid w:val="00F21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3A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24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63E"/>
  </w:style>
  <w:style w:type="paragraph" w:styleId="Footer">
    <w:name w:val="footer"/>
    <w:basedOn w:val="Normal"/>
    <w:link w:val="FooterChar"/>
    <w:uiPriority w:val="99"/>
    <w:unhideWhenUsed/>
    <w:rsid w:val="00A24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63E"/>
  </w:style>
  <w:style w:type="paragraph" w:styleId="BalloonText">
    <w:name w:val="Balloon Text"/>
    <w:basedOn w:val="Normal"/>
    <w:link w:val="BalloonTextChar"/>
    <w:uiPriority w:val="99"/>
    <w:semiHidden/>
    <w:unhideWhenUsed/>
    <w:rsid w:val="00A24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63E"/>
    <w:rPr>
      <w:rFonts w:ascii="Tahoma" w:hAnsi="Tahoma" w:cs="Tahoma"/>
      <w:sz w:val="16"/>
      <w:szCs w:val="16"/>
    </w:rPr>
  </w:style>
  <w:style w:type="paragraph" w:styleId="ListParagraph">
    <w:name w:val="List Paragraph"/>
    <w:basedOn w:val="Normal"/>
    <w:uiPriority w:val="34"/>
    <w:qFormat/>
    <w:rsid w:val="0037654F"/>
    <w:pPr>
      <w:spacing w:after="0" w:line="240" w:lineRule="auto"/>
      <w:ind w:left="720"/>
      <w:contextualSpacing/>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3A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24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63E"/>
  </w:style>
  <w:style w:type="paragraph" w:styleId="Footer">
    <w:name w:val="footer"/>
    <w:basedOn w:val="Normal"/>
    <w:link w:val="FooterChar"/>
    <w:uiPriority w:val="99"/>
    <w:unhideWhenUsed/>
    <w:rsid w:val="00A24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63E"/>
  </w:style>
  <w:style w:type="paragraph" w:styleId="BalloonText">
    <w:name w:val="Balloon Text"/>
    <w:basedOn w:val="Normal"/>
    <w:link w:val="BalloonTextChar"/>
    <w:uiPriority w:val="99"/>
    <w:semiHidden/>
    <w:unhideWhenUsed/>
    <w:rsid w:val="00A24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63E"/>
    <w:rPr>
      <w:rFonts w:ascii="Tahoma" w:hAnsi="Tahoma" w:cs="Tahoma"/>
      <w:sz w:val="16"/>
      <w:szCs w:val="16"/>
    </w:rPr>
  </w:style>
  <w:style w:type="paragraph" w:styleId="ListParagraph">
    <w:name w:val="List Paragraph"/>
    <w:basedOn w:val="Normal"/>
    <w:uiPriority w:val="34"/>
    <w:qFormat/>
    <w:rsid w:val="0037654F"/>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673358">
      <w:bodyDiv w:val="1"/>
      <w:marLeft w:val="0"/>
      <w:marRight w:val="0"/>
      <w:marTop w:val="0"/>
      <w:marBottom w:val="0"/>
      <w:divBdr>
        <w:top w:val="none" w:sz="0" w:space="0" w:color="auto"/>
        <w:left w:val="none" w:sz="0" w:space="0" w:color="auto"/>
        <w:bottom w:val="none" w:sz="0" w:space="0" w:color="auto"/>
        <w:right w:val="none" w:sz="0" w:space="0" w:color="auto"/>
      </w:divBdr>
    </w:div>
    <w:div w:id="921329649">
      <w:bodyDiv w:val="1"/>
      <w:marLeft w:val="0"/>
      <w:marRight w:val="0"/>
      <w:marTop w:val="0"/>
      <w:marBottom w:val="0"/>
      <w:divBdr>
        <w:top w:val="none" w:sz="0" w:space="0" w:color="auto"/>
        <w:left w:val="none" w:sz="0" w:space="0" w:color="auto"/>
        <w:bottom w:val="none" w:sz="0" w:space="0" w:color="auto"/>
        <w:right w:val="none" w:sz="0" w:space="0" w:color="auto"/>
      </w:divBdr>
      <w:divsChild>
        <w:div w:id="999819612">
          <w:marLeft w:val="547"/>
          <w:marRight w:val="0"/>
          <w:marTop w:val="96"/>
          <w:marBottom w:val="0"/>
          <w:divBdr>
            <w:top w:val="none" w:sz="0" w:space="0" w:color="auto"/>
            <w:left w:val="none" w:sz="0" w:space="0" w:color="auto"/>
            <w:bottom w:val="none" w:sz="0" w:space="0" w:color="auto"/>
            <w:right w:val="none" w:sz="0" w:space="0" w:color="auto"/>
          </w:divBdr>
        </w:div>
        <w:div w:id="2045976565">
          <w:marLeft w:val="1166"/>
          <w:marRight w:val="0"/>
          <w:marTop w:val="86"/>
          <w:marBottom w:val="0"/>
          <w:divBdr>
            <w:top w:val="none" w:sz="0" w:space="0" w:color="auto"/>
            <w:left w:val="none" w:sz="0" w:space="0" w:color="auto"/>
            <w:bottom w:val="none" w:sz="0" w:space="0" w:color="auto"/>
            <w:right w:val="none" w:sz="0" w:space="0" w:color="auto"/>
          </w:divBdr>
        </w:div>
        <w:div w:id="1560821999">
          <w:marLeft w:val="1166"/>
          <w:marRight w:val="0"/>
          <w:marTop w:val="86"/>
          <w:marBottom w:val="0"/>
          <w:divBdr>
            <w:top w:val="none" w:sz="0" w:space="0" w:color="auto"/>
            <w:left w:val="none" w:sz="0" w:space="0" w:color="auto"/>
            <w:bottom w:val="none" w:sz="0" w:space="0" w:color="auto"/>
            <w:right w:val="none" w:sz="0" w:space="0" w:color="auto"/>
          </w:divBdr>
        </w:div>
      </w:divsChild>
    </w:div>
    <w:div w:id="1270431883">
      <w:bodyDiv w:val="1"/>
      <w:marLeft w:val="0"/>
      <w:marRight w:val="0"/>
      <w:marTop w:val="0"/>
      <w:marBottom w:val="0"/>
      <w:divBdr>
        <w:top w:val="none" w:sz="0" w:space="0" w:color="auto"/>
        <w:left w:val="none" w:sz="0" w:space="0" w:color="auto"/>
        <w:bottom w:val="none" w:sz="0" w:space="0" w:color="auto"/>
        <w:right w:val="none" w:sz="0" w:space="0" w:color="auto"/>
      </w:divBdr>
      <w:divsChild>
        <w:div w:id="1046176025">
          <w:marLeft w:val="547"/>
          <w:marRight w:val="0"/>
          <w:marTop w:val="86"/>
          <w:marBottom w:val="0"/>
          <w:divBdr>
            <w:top w:val="none" w:sz="0" w:space="0" w:color="auto"/>
            <w:left w:val="none" w:sz="0" w:space="0" w:color="auto"/>
            <w:bottom w:val="none" w:sz="0" w:space="0" w:color="auto"/>
            <w:right w:val="none" w:sz="0" w:space="0" w:color="auto"/>
          </w:divBdr>
        </w:div>
        <w:div w:id="1203057431">
          <w:marLeft w:val="1166"/>
          <w:marRight w:val="0"/>
          <w:marTop w:val="72"/>
          <w:marBottom w:val="0"/>
          <w:divBdr>
            <w:top w:val="none" w:sz="0" w:space="0" w:color="auto"/>
            <w:left w:val="none" w:sz="0" w:space="0" w:color="auto"/>
            <w:bottom w:val="none" w:sz="0" w:space="0" w:color="auto"/>
            <w:right w:val="none" w:sz="0" w:space="0" w:color="auto"/>
          </w:divBdr>
        </w:div>
        <w:div w:id="1884054737">
          <w:marLeft w:val="1166"/>
          <w:marRight w:val="0"/>
          <w:marTop w:val="72"/>
          <w:marBottom w:val="0"/>
          <w:divBdr>
            <w:top w:val="none" w:sz="0" w:space="0" w:color="auto"/>
            <w:left w:val="none" w:sz="0" w:space="0" w:color="auto"/>
            <w:bottom w:val="none" w:sz="0" w:space="0" w:color="auto"/>
            <w:right w:val="none" w:sz="0" w:space="0" w:color="auto"/>
          </w:divBdr>
        </w:div>
      </w:divsChild>
    </w:div>
    <w:div w:id="1296257105">
      <w:bodyDiv w:val="1"/>
      <w:marLeft w:val="0"/>
      <w:marRight w:val="0"/>
      <w:marTop w:val="0"/>
      <w:marBottom w:val="0"/>
      <w:divBdr>
        <w:top w:val="none" w:sz="0" w:space="0" w:color="auto"/>
        <w:left w:val="none" w:sz="0" w:space="0" w:color="auto"/>
        <w:bottom w:val="none" w:sz="0" w:space="0" w:color="auto"/>
        <w:right w:val="none" w:sz="0" w:space="0" w:color="auto"/>
      </w:divBdr>
      <w:divsChild>
        <w:div w:id="1579973160">
          <w:marLeft w:val="547"/>
          <w:marRight w:val="0"/>
          <w:marTop w:val="86"/>
          <w:marBottom w:val="0"/>
          <w:divBdr>
            <w:top w:val="none" w:sz="0" w:space="0" w:color="auto"/>
            <w:left w:val="none" w:sz="0" w:space="0" w:color="auto"/>
            <w:bottom w:val="none" w:sz="0" w:space="0" w:color="auto"/>
            <w:right w:val="none" w:sz="0" w:space="0" w:color="auto"/>
          </w:divBdr>
        </w:div>
        <w:div w:id="693380531">
          <w:marLeft w:val="1166"/>
          <w:marRight w:val="0"/>
          <w:marTop w:val="72"/>
          <w:marBottom w:val="0"/>
          <w:divBdr>
            <w:top w:val="none" w:sz="0" w:space="0" w:color="auto"/>
            <w:left w:val="none" w:sz="0" w:space="0" w:color="auto"/>
            <w:bottom w:val="none" w:sz="0" w:space="0" w:color="auto"/>
            <w:right w:val="none" w:sz="0" w:space="0" w:color="auto"/>
          </w:divBdr>
        </w:div>
        <w:div w:id="173343821">
          <w:marLeft w:val="1166"/>
          <w:marRight w:val="0"/>
          <w:marTop w:val="72"/>
          <w:marBottom w:val="0"/>
          <w:divBdr>
            <w:top w:val="none" w:sz="0" w:space="0" w:color="auto"/>
            <w:left w:val="none" w:sz="0" w:space="0" w:color="auto"/>
            <w:bottom w:val="none" w:sz="0" w:space="0" w:color="auto"/>
            <w:right w:val="none" w:sz="0" w:space="0" w:color="auto"/>
          </w:divBdr>
        </w:div>
        <w:div w:id="750665742">
          <w:marLeft w:val="1166"/>
          <w:marRight w:val="0"/>
          <w:marTop w:val="72"/>
          <w:marBottom w:val="0"/>
          <w:divBdr>
            <w:top w:val="none" w:sz="0" w:space="0" w:color="auto"/>
            <w:left w:val="none" w:sz="0" w:space="0" w:color="auto"/>
            <w:bottom w:val="none" w:sz="0" w:space="0" w:color="auto"/>
            <w:right w:val="none" w:sz="0" w:space="0" w:color="auto"/>
          </w:divBdr>
        </w:div>
        <w:div w:id="1572738952">
          <w:marLeft w:val="1166"/>
          <w:marRight w:val="0"/>
          <w:marTop w:val="72"/>
          <w:marBottom w:val="0"/>
          <w:divBdr>
            <w:top w:val="none" w:sz="0" w:space="0" w:color="auto"/>
            <w:left w:val="none" w:sz="0" w:space="0" w:color="auto"/>
            <w:bottom w:val="none" w:sz="0" w:space="0" w:color="auto"/>
            <w:right w:val="none" w:sz="0" w:space="0" w:color="auto"/>
          </w:divBdr>
        </w:div>
      </w:divsChild>
    </w:div>
    <w:div w:id="1297416419">
      <w:bodyDiv w:val="1"/>
      <w:marLeft w:val="0"/>
      <w:marRight w:val="0"/>
      <w:marTop w:val="0"/>
      <w:marBottom w:val="0"/>
      <w:divBdr>
        <w:top w:val="none" w:sz="0" w:space="0" w:color="auto"/>
        <w:left w:val="none" w:sz="0" w:space="0" w:color="auto"/>
        <w:bottom w:val="none" w:sz="0" w:space="0" w:color="auto"/>
        <w:right w:val="none" w:sz="0" w:space="0" w:color="auto"/>
      </w:divBdr>
      <w:divsChild>
        <w:div w:id="1896969048">
          <w:marLeft w:val="547"/>
          <w:marRight w:val="0"/>
          <w:marTop w:val="86"/>
          <w:marBottom w:val="0"/>
          <w:divBdr>
            <w:top w:val="none" w:sz="0" w:space="0" w:color="auto"/>
            <w:left w:val="none" w:sz="0" w:space="0" w:color="auto"/>
            <w:bottom w:val="none" w:sz="0" w:space="0" w:color="auto"/>
            <w:right w:val="none" w:sz="0" w:space="0" w:color="auto"/>
          </w:divBdr>
        </w:div>
        <w:div w:id="1342007895">
          <w:marLeft w:val="1166"/>
          <w:marRight w:val="0"/>
          <w:marTop w:val="72"/>
          <w:marBottom w:val="0"/>
          <w:divBdr>
            <w:top w:val="none" w:sz="0" w:space="0" w:color="auto"/>
            <w:left w:val="none" w:sz="0" w:space="0" w:color="auto"/>
            <w:bottom w:val="none" w:sz="0" w:space="0" w:color="auto"/>
            <w:right w:val="none" w:sz="0" w:space="0" w:color="auto"/>
          </w:divBdr>
        </w:div>
        <w:div w:id="1156842616">
          <w:marLeft w:val="1166"/>
          <w:marRight w:val="0"/>
          <w:marTop w:val="72"/>
          <w:marBottom w:val="0"/>
          <w:divBdr>
            <w:top w:val="none" w:sz="0" w:space="0" w:color="auto"/>
            <w:left w:val="none" w:sz="0" w:space="0" w:color="auto"/>
            <w:bottom w:val="none" w:sz="0" w:space="0" w:color="auto"/>
            <w:right w:val="none" w:sz="0" w:space="0" w:color="auto"/>
          </w:divBdr>
        </w:div>
        <w:div w:id="1186335106">
          <w:marLeft w:val="1166"/>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1594B69EBA44B0BBEBFA8D6E4CCBFF"/>
        <w:category>
          <w:name w:val="General"/>
          <w:gallery w:val="placeholder"/>
        </w:category>
        <w:types>
          <w:type w:val="bbPlcHdr"/>
        </w:types>
        <w:behaviors>
          <w:behavior w:val="content"/>
        </w:behaviors>
        <w:guid w:val="{4C8827AA-A2EB-40C5-9E0C-76DCA2A8F0A9}"/>
      </w:docPartPr>
      <w:docPartBody>
        <w:p w:rsidR="00FB197E" w:rsidRDefault="00FB197E" w:rsidP="00FB197E">
          <w:pPr>
            <w:pStyle w:val="BE1594B69EBA44B0BBEBFA8D6E4CCBFF"/>
          </w:pPr>
          <w:r>
            <w:rPr>
              <w:color w:val="FFFFFF" w:themeColor="background1"/>
            </w:rPr>
            <w:t>[Pick the date]</w:t>
          </w:r>
        </w:p>
      </w:docPartBody>
    </w:docPart>
    <w:docPart>
      <w:docPartPr>
        <w:name w:val="0E60ED9C778A4C1384627223BDF6B997"/>
        <w:category>
          <w:name w:val="General"/>
          <w:gallery w:val="placeholder"/>
        </w:category>
        <w:types>
          <w:type w:val="bbPlcHdr"/>
        </w:types>
        <w:behaviors>
          <w:behavior w:val="content"/>
        </w:behaviors>
        <w:guid w:val="{CDF4EFAA-45DF-4DC7-A584-9FA86812A21C}"/>
      </w:docPartPr>
      <w:docPartBody>
        <w:p w:rsidR="00FB197E" w:rsidRDefault="00FB197E" w:rsidP="00FB197E">
          <w:pPr>
            <w:pStyle w:val="0E60ED9C778A4C1384627223BDF6B997"/>
          </w:pPr>
          <w:r>
            <w:rPr>
              <w:caps/>
              <w:color w:val="FFFFFF" w:themeColor="background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97E"/>
    <w:rsid w:val="00FB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1594B69EBA44B0BBEBFA8D6E4CCBFF">
    <w:name w:val="BE1594B69EBA44B0BBEBFA8D6E4CCBFF"/>
    <w:rsid w:val="00FB197E"/>
  </w:style>
  <w:style w:type="paragraph" w:customStyle="1" w:styleId="0E60ED9C778A4C1384627223BDF6B997">
    <w:name w:val="0E60ED9C778A4C1384627223BDF6B997"/>
    <w:rsid w:val="00FB19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1594B69EBA44B0BBEBFA8D6E4CCBFF">
    <w:name w:val="BE1594B69EBA44B0BBEBFA8D6E4CCBFF"/>
    <w:rsid w:val="00FB197E"/>
  </w:style>
  <w:style w:type="paragraph" w:customStyle="1" w:styleId="0E60ED9C778A4C1384627223BDF6B997">
    <w:name w:val="0E60ED9C778A4C1384627223BDF6B997"/>
    <w:rsid w:val="00FB1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2019-02-01T00:00:00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7266</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IB Psychology: Paper 3 Revision</vt:lpstr>
    </vt:vector>
  </TitlesOfParts>
  <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 Psychology: Paper 3 Revision</dc:title>
  <dc:creator>Amanda Wood (AJW)</dc:creator>
  <cp:lastModifiedBy>Amanda Wood (AJW)</cp:lastModifiedBy>
  <cp:revision>2</cp:revision>
  <dcterms:created xsi:type="dcterms:W3CDTF">2019-02-24T21:08:00Z</dcterms:created>
  <dcterms:modified xsi:type="dcterms:W3CDTF">2019-02-24T21:08:00Z</dcterms:modified>
</cp:coreProperties>
</file>